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left"/>
        <w:outlineLvl w:val="0"/>
        <w:rPr>
          <w:rFonts w:hint="eastAsia" w:ascii="黑体" w:hAnsi="黑体" w:eastAsia="黑体" w:cs="黑体"/>
          <w:kern w:val="0"/>
          <w:sz w:val="32"/>
          <w:szCs w:val="32"/>
        </w:rPr>
      </w:pPr>
      <w:r>
        <w:rPr>
          <w:rFonts w:hint="eastAsia" w:ascii="黑体" w:hAnsi="黑体" w:eastAsia="黑体" w:cs="黑体"/>
          <w:kern w:val="0"/>
          <w:sz w:val="32"/>
          <w:szCs w:val="32"/>
        </w:rPr>
        <w:t>附件</w:t>
      </w:r>
    </w:p>
    <w:p>
      <w:pPr>
        <w:spacing w:after="120" w:afterLines="50"/>
        <w:jc w:val="center"/>
        <w:rPr>
          <w:rFonts w:hint="default" w:ascii="Times New Roman" w:hAnsi="Times New Roman" w:eastAsia="方正小标宋简体" w:cs="Times New Roman"/>
          <w:b/>
          <w:sz w:val="36"/>
          <w:szCs w:val="36"/>
        </w:rPr>
      </w:pPr>
      <w:r>
        <w:rPr>
          <w:rFonts w:hint="default" w:ascii="Times New Roman" w:hAnsi="Times New Roman" w:eastAsia="方正小标宋简体" w:cs="Times New Roman"/>
          <w:sz w:val="36"/>
          <w:szCs w:val="36"/>
          <w:lang w:val="en-US" w:eastAsia="zh-CN"/>
        </w:rPr>
        <w:t>7</w:t>
      </w:r>
      <w:r>
        <w:rPr>
          <w:rFonts w:hint="default" w:ascii="Times New Roman" w:hAnsi="Times New Roman" w:eastAsia="方正小标宋简体" w:cs="Times New Roman"/>
          <w:sz w:val="36"/>
          <w:szCs w:val="36"/>
        </w:rPr>
        <w:t>项强制性国家标准主要内容等一览表</w:t>
      </w:r>
    </w:p>
    <w:tbl>
      <w:tblPr>
        <w:tblStyle w:val="2"/>
        <w:tblW w:w="145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170"/>
        <w:gridCol w:w="1842"/>
        <w:gridCol w:w="5888"/>
        <w:gridCol w:w="1920"/>
        <w:gridCol w:w="1110"/>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blHeader/>
          <w:jc w:val="center"/>
        </w:trPr>
        <w:tc>
          <w:tcPr>
            <w:tcW w:w="673" w:type="dxa"/>
            <w:noWrap/>
            <w:vAlign w:val="center"/>
          </w:tcPr>
          <w:p>
            <w:pPr>
              <w:widowControl/>
              <w:spacing w:line="288" w:lineRule="auto"/>
              <w:jc w:val="center"/>
              <w:rPr>
                <w:rFonts w:eastAsia="仿宋"/>
                <w:b/>
                <w:bCs/>
                <w:kern w:val="0"/>
                <w:szCs w:val="21"/>
              </w:rPr>
            </w:pPr>
            <w:r>
              <w:rPr>
                <w:rFonts w:eastAsia="仿宋"/>
                <w:b/>
                <w:bCs/>
                <w:kern w:val="0"/>
                <w:szCs w:val="21"/>
              </w:rPr>
              <w:t>序号</w:t>
            </w:r>
          </w:p>
        </w:tc>
        <w:tc>
          <w:tcPr>
            <w:tcW w:w="1170" w:type="dxa"/>
            <w:noWrap w:val="0"/>
            <w:vAlign w:val="center"/>
          </w:tcPr>
          <w:p>
            <w:pPr>
              <w:widowControl/>
              <w:spacing w:line="288" w:lineRule="auto"/>
              <w:jc w:val="center"/>
              <w:rPr>
                <w:rFonts w:eastAsia="仿宋"/>
                <w:b/>
                <w:bCs/>
                <w:kern w:val="0"/>
                <w:szCs w:val="21"/>
              </w:rPr>
            </w:pPr>
            <w:r>
              <w:rPr>
                <w:rFonts w:eastAsia="仿宋"/>
                <w:b/>
                <w:bCs/>
                <w:kern w:val="0"/>
                <w:szCs w:val="21"/>
              </w:rPr>
              <w:t>计划编号</w:t>
            </w:r>
          </w:p>
        </w:tc>
        <w:tc>
          <w:tcPr>
            <w:tcW w:w="1842" w:type="dxa"/>
            <w:noWrap w:val="0"/>
            <w:vAlign w:val="center"/>
          </w:tcPr>
          <w:p>
            <w:pPr>
              <w:widowControl/>
              <w:spacing w:line="288" w:lineRule="auto"/>
              <w:jc w:val="center"/>
              <w:rPr>
                <w:rFonts w:eastAsia="仿宋"/>
                <w:b/>
                <w:bCs/>
                <w:kern w:val="0"/>
                <w:szCs w:val="21"/>
              </w:rPr>
            </w:pPr>
            <w:r>
              <w:rPr>
                <w:rFonts w:eastAsia="仿宋"/>
                <w:b/>
                <w:bCs/>
                <w:kern w:val="0"/>
                <w:szCs w:val="21"/>
              </w:rPr>
              <w:t>标准名称</w:t>
            </w:r>
          </w:p>
        </w:tc>
        <w:tc>
          <w:tcPr>
            <w:tcW w:w="5888" w:type="dxa"/>
            <w:noWrap w:val="0"/>
            <w:tcMar>
              <w:left w:w="28" w:type="dxa"/>
              <w:right w:w="28" w:type="dxa"/>
            </w:tcMar>
            <w:vAlign w:val="center"/>
          </w:tcPr>
          <w:p>
            <w:pPr>
              <w:spacing w:line="288" w:lineRule="auto"/>
              <w:jc w:val="center"/>
              <w:rPr>
                <w:rFonts w:eastAsia="仿宋"/>
                <w:b/>
                <w:bCs/>
                <w:szCs w:val="21"/>
              </w:rPr>
            </w:pPr>
            <w:r>
              <w:rPr>
                <w:rFonts w:ascii="宋体" w:hAnsi="宋体"/>
                <w:b/>
                <w:szCs w:val="21"/>
              </w:rPr>
              <w:t>标准主要内容</w:t>
            </w:r>
          </w:p>
        </w:tc>
        <w:tc>
          <w:tcPr>
            <w:tcW w:w="1920" w:type="dxa"/>
            <w:noWrap w:val="0"/>
            <w:vAlign w:val="center"/>
          </w:tcPr>
          <w:p>
            <w:pPr>
              <w:spacing w:line="288" w:lineRule="auto"/>
              <w:jc w:val="center"/>
              <w:rPr>
                <w:rFonts w:eastAsia="仿宋"/>
                <w:b/>
                <w:bCs/>
                <w:szCs w:val="21"/>
              </w:rPr>
            </w:pPr>
            <w:r>
              <w:rPr>
                <w:rFonts w:eastAsia="仿宋"/>
                <w:b/>
                <w:bCs/>
                <w:szCs w:val="21"/>
              </w:rPr>
              <w:t>代替标准</w:t>
            </w:r>
          </w:p>
        </w:tc>
        <w:tc>
          <w:tcPr>
            <w:tcW w:w="1110" w:type="dxa"/>
            <w:noWrap w:val="0"/>
            <w:vAlign w:val="center"/>
          </w:tcPr>
          <w:p>
            <w:pPr>
              <w:widowControl/>
              <w:spacing w:line="288" w:lineRule="auto"/>
              <w:jc w:val="center"/>
              <w:rPr>
                <w:rFonts w:eastAsia="仿宋"/>
                <w:b/>
                <w:bCs/>
                <w:kern w:val="0"/>
                <w:szCs w:val="21"/>
              </w:rPr>
            </w:pPr>
            <w:r>
              <w:rPr>
                <w:rFonts w:eastAsia="仿宋"/>
                <w:b/>
                <w:bCs/>
                <w:kern w:val="0"/>
                <w:szCs w:val="21"/>
              </w:rPr>
              <w:t>采标情况</w:t>
            </w:r>
          </w:p>
        </w:tc>
        <w:tc>
          <w:tcPr>
            <w:tcW w:w="1966" w:type="dxa"/>
            <w:noWrap w:val="0"/>
            <w:vAlign w:val="center"/>
          </w:tcPr>
          <w:p>
            <w:pPr>
              <w:widowControl/>
              <w:spacing w:line="288" w:lineRule="auto"/>
              <w:jc w:val="center"/>
              <w:rPr>
                <w:rFonts w:eastAsia="仿宋"/>
                <w:b/>
                <w:bCs/>
                <w:kern w:val="0"/>
                <w:szCs w:val="21"/>
              </w:rPr>
            </w:pPr>
            <w:r>
              <w:rPr>
                <w:rFonts w:eastAsia="仿宋"/>
                <w:b/>
                <w:bCs/>
                <w:kern w:val="0"/>
                <w:szCs w:val="21"/>
              </w:rPr>
              <w:t>建议实施日期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blHeader/>
          <w:jc w:val="center"/>
        </w:trPr>
        <w:tc>
          <w:tcPr>
            <w:tcW w:w="673" w:type="dxa"/>
            <w:noWrap/>
            <w:vAlign w:val="center"/>
          </w:tcPr>
          <w:p>
            <w:pPr>
              <w:widowControl/>
              <w:numPr>
                <w:ilvl w:val="0"/>
                <w:numId w:val="1"/>
              </w:numPr>
              <w:spacing w:line="288" w:lineRule="auto"/>
              <w:ind w:left="425" w:leftChars="0" w:hanging="425" w:firstLineChars="0"/>
              <w:jc w:val="both"/>
              <w:rPr>
                <w:rFonts w:hint="eastAsia" w:ascii="仿宋_GB2312" w:hAnsi="仿宋_GB2312" w:eastAsia="仿宋_GB2312" w:cs="仿宋_GB2312"/>
                <w:color w:val="auto"/>
                <w:kern w:val="0"/>
                <w:sz w:val="20"/>
                <w:szCs w:val="20"/>
                <w:highlight w:val="none"/>
                <w:lang w:val="en-US" w:eastAsia="zh-CN" w:bidi="ar-SA"/>
              </w:rPr>
            </w:pPr>
            <w:bookmarkStart w:id="0" w:name="_Hlk66863149"/>
          </w:p>
        </w:tc>
        <w:tc>
          <w:tcPr>
            <w:tcW w:w="1170" w:type="dxa"/>
            <w:noWrap w:val="0"/>
            <w:vAlign w:val="center"/>
          </w:tcPr>
          <w:p>
            <w:pPr>
              <w:pStyle w:val="4"/>
              <w:tabs>
                <w:tab w:val="center" w:pos="4201"/>
                <w:tab w:val="right" w:leader="dot" w:pos="9298"/>
              </w:tabs>
              <w:ind w:firstLine="24" w:firstLineChars="12"/>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20190075-Q-339</w:t>
            </w:r>
          </w:p>
        </w:tc>
        <w:tc>
          <w:tcPr>
            <w:tcW w:w="1842" w:type="dxa"/>
            <w:noWrap w:val="0"/>
            <w:vAlign w:val="center"/>
          </w:tcPr>
          <w:p>
            <w:pPr>
              <w:pStyle w:val="4"/>
              <w:tabs>
                <w:tab w:val="center" w:pos="4201"/>
                <w:tab w:val="right" w:leader="dot" w:pos="9298"/>
              </w:tabs>
              <w:ind w:firstLine="0" w:firstLineChars="0"/>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家具中有害物质限量</w:t>
            </w:r>
          </w:p>
        </w:tc>
        <w:tc>
          <w:tcPr>
            <w:tcW w:w="5888" w:type="dxa"/>
            <w:noWrap w:val="0"/>
            <w:tcMar>
              <w:left w:w="28" w:type="dxa"/>
              <w:right w:w="28" w:type="dxa"/>
            </w:tcMar>
            <w:vAlign w:val="center"/>
          </w:tcPr>
          <w:p>
            <w:pPr>
              <w:pStyle w:val="4"/>
              <w:tabs>
                <w:tab w:val="center" w:pos="4201"/>
                <w:tab w:val="right" w:leader="dot" w:pos="9298"/>
              </w:tabs>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本文件规定了家具中有害物质的术语和定义、要求和试验方法及检验结果判定。</w:t>
            </w:r>
          </w:p>
          <w:p>
            <w:pPr>
              <w:pStyle w:val="4"/>
              <w:tabs>
                <w:tab w:val="center" w:pos="4201"/>
                <w:tab w:val="right" w:leader="dot" w:pos="9298"/>
              </w:tabs>
              <w:ind w:firstLine="400" w:firstLineChars="20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本文件适用于各类家具产品。</w:t>
            </w:r>
          </w:p>
        </w:tc>
        <w:tc>
          <w:tcPr>
            <w:tcW w:w="1920" w:type="dxa"/>
            <w:noWrap w:val="0"/>
            <w:vAlign w:val="center"/>
          </w:tcPr>
          <w:p>
            <w:pPr>
              <w:adjustRightInd w:val="0"/>
              <w:snapToGrid w:val="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GB 18584-2001；</w:t>
            </w:r>
          </w:p>
          <w:p>
            <w:pPr>
              <w:adjustRightInd w:val="0"/>
              <w:snapToGrid w:val="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GB 28481-2012</w:t>
            </w:r>
          </w:p>
        </w:tc>
        <w:tc>
          <w:tcPr>
            <w:tcW w:w="1110" w:type="dxa"/>
            <w:noWrap w:val="0"/>
            <w:vAlign w:val="center"/>
          </w:tcPr>
          <w:p>
            <w:pPr>
              <w:adjustRightInd w:val="0"/>
              <w:snapToGrid w:val="0"/>
              <w:spacing w:line="360" w:lineRule="auto"/>
              <w:jc w:val="center"/>
              <w:rPr>
                <w:rFonts w:hint="eastAsia" w:ascii="仿宋_GB2312" w:hAnsi="仿宋_GB2312" w:eastAsia="仿宋_GB2312" w:cs="仿宋_GB2312"/>
                <w:color w:val="auto"/>
                <w:kern w:val="0"/>
                <w:sz w:val="20"/>
                <w:szCs w:val="20"/>
                <w:highlight w:val="none"/>
                <w:lang w:val="en-US" w:eastAsia="zh-CN" w:bidi="ar-SA"/>
              </w:rPr>
            </w:pPr>
          </w:p>
        </w:tc>
        <w:tc>
          <w:tcPr>
            <w:tcW w:w="1966" w:type="dxa"/>
            <w:noWrap w:val="0"/>
            <w:vAlign w:val="center"/>
          </w:tcPr>
          <w:p>
            <w:pPr>
              <w:adjustRightInd w:val="0"/>
              <w:snapToGrid w:val="0"/>
              <w:spacing w:line="360" w:lineRule="auto"/>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批准发布后12个月</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blHeader/>
          <w:jc w:val="center"/>
        </w:trPr>
        <w:tc>
          <w:tcPr>
            <w:tcW w:w="673" w:type="dxa"/>
            <w:noWrap/>
            <w:vAlign w:val="center"/>
          </w:tcPr>
          <w:p>
            <w:pPr>
              <w:widowControl/>
              <w:numPr>
                <w:ilvl w:val="0"/>
                <w:numId w:val="1"/>
              </w:numPr>
              <w:spacing w:line="288" w:lineRule="auto"/>
              <w:ind w:left="425" w:leftChars="0" w:hanging="425" w:firstLineChars="0"/>
              <w:jc w:val="both"/>
              <w:rPr>
                <w:rFonts w:hint="eastAsia" w:ascii="仿宋_GB2312" w:hAnsi="仿宋_GB2312" w:eastAsia="仿宋_GB2312" w:cs="仿宋_GB2312"/>
                <w:color w:val="auto"/>
                <w:kern w:val="0"/>
                <w:sz w:val="20"/>
                <w:szCs w:val="20"/>
                <w:highlight w:val="none"/>
                <w:lang w:val="en-US" w:eastAsia="zh-CN" w:bidi="ar-SA"/>
              </w:rPr>
            </w:pPr>
          </w:p>
        </w:tc>
        <w:tc>
          <w:tcPr>
            <w:tcW w:w="1170" w:type="dxa"/>
            <w:noWrap w:val="0"/>
            <w:vAlign w:val="center"/>
          </w:tcPr>
          <w:p>
            <w:pPr>
              <w:pStyle w:val="4"/>
              <w:tabs>
                <w:tab w:val="center" w:pos="4201"/>
                <w:tab w:val="right" w:leader="dot" w:pos="9298"/>
              </w:tabs>
              <w:ind w:firstLine="0" w:firstLineChars="0"/>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20190076-Q-339</w:t>
            </w:r>
          </w:p>
        </w:tc>
        <w:tc>
          <w:tcPr>
            <w:tcW w:w="1842" w:type="dxa"/>
            <w:noWrap w:val="0"/>
            <w:vAlign w:val="center"/>
          </w:tcPr>
          <w:p>
            <w:pPr>
              <w:pStyle w:val="4"/>
              <w:tabs>
                <w:tab w:val="center" w:pos="4201"/>
                <w:tab w:val="right" w:leader="dot" w:pos="9298"/>
              </w:tabs>
              <w:ind w:firstLine="0" w:firstLineChars="0"/>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家具结构安全技术规范</w:t>
            </w:r>
          </w:p>
        </w:tc>
        <w:tc>
          <w:tcPr>
            <w:tcW w:w="5888" w:type="dxa"/>
            <w:noWrap w:val="0"/>
            <w:tcMar>
              <w:left w:w="28" w:type="dxa"/>
              <w:right w:w="28" w:type="dxa"/>
            </w:tcMar>
            <w:vAlign w:val="center"/>
          </w:tcPr>
          <w:p>
            <w:pPr>
              <w:pStyle w:val="4"/>
              <w:tabs>
                <w:tab w:val="center" w:pos="4201"/>
                <w:tab w:val="right" w:leader="dot" w:pos="9298"/>
              </w:tabs>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本文件规定了家具结构的通用安全要求及特定产品结构安全要求。</w:t>
            </w:r>
          </w:p>
          <w:p>
            <w:pPr>
              <w:pStyle w:val="4"/>
              <w:tabs>
                <w:tab w:val="center" w:pos="4201"/>
                <w:tab w:val="right" w:leader="dot" w:pos="9298"/>
              </w:tabs>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本文件适用于婴幼儿及儿童家具以外的家具。</w:t>
            </w:r>
          </w:p>
        </w:tc>
        <w:tc>
          <w:tcPr>
            <w:tcW w:w="1920" w:type="dxa"/>
            <w:noWrap w:val="0"/>
            <w:vAlign w:val="center"/>
          </w:tcPr>
          <w:p>
            <w:pPr>
              <w:pStyle w:val="4"/>
              <w:tabs>
                <w:tab w:val="center" w:pos="4201"/>
                <w:tab w:val="right" w:leader="dot" w:pos="9298"/>
              </w:tabs>
              <w:ind w:firstLine="0" w:firstLineChars="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GB 22792.2-2008；</w:t>
            </w:r>
          </w:p>
          <w:p>
            <w:pPr>
              <w:pStyle w:val="4"/>
              <w:tabs>
                <w:tab w:val="center" w:pos="4201"/>
                <w:tab w:val="right" w:leader="dot" w:pos="9298"/>
              </w:tabs>
              <w:ind w:firstLine="0" w:firstLineChars="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GB 26172.1-2010；</w:t>
            </w:r>
          </w:p>
          <w:p>
            <w:pPr>
              <w:pStyle w:val="4"/>
              <w:tabs>
                <w:tab w:val="center" w:pos="4201"/>
                <w:tab w:val="right" w:leader="dot" w:pos="9298"/>
              </w:tabs>
              <w:ind w:firstLine="0" w:firstLineChars="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GB 24820-2009；</w:t>
            </w:r>
          </w:p>
          <w:p>
            <w:pPr>
              <w:pStyle w:val="4"/>
              <w:tabs>
                <w:tab w:val="center" w:pos="4201"/>
                <w:tab w:val="right" w:leader="dot" w:pos="9298"/>
              </w:tabs>
              <w:ind w:firstLine="0" w:firstLineChars="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GB 24977-2010；</w:t>
            </w:r>
          </w:p>
          <w:p>
            <w:pPr>
              <w:pStyle w:val="4"/>
              <w:tabs>
                <w:tab w:val="center" w:pos="4201"/>
                <w:tab w:val="right" w:leader="dot" w:pos="9298"/>
              </w:tabs>
              <w:ind w:firstLine="0" w:firstLineChars="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GB 24430.1-2009；</w:t>
            </w:r>
          </w:p>
          <w:p>
            <w:pPr>
              <w:pStyle w:val="4"/>
              <w:tabs>
                <w:tab w:val="center" w:pos="4201"/>
                <w:tab w:val="right" w:leader="dot" w:pos="9298"/>
              </w:tabs>
              <w:ind w:firstLine="0" w:firstLineChars="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GB 28008-2011；</w:t>
            </w:r>
          </w:p>
          <w:p>
            <w:pPr>
              <w:pStyle w:val="4"/>
              <w:tabs>
                <w:tab w:val="center" w:pos="4201"/>
                <w:tab w:val="right" w:leader="dot" w:pos="9298"/>
              </w:tabs>
              <w:ind w:firstLine="0" w:firstLineChars="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GB 28478-2012</w:t>
            </w:r>
          </w:p>
        </w:tc>
        <w:tc>
          <w:tcPr>
            <w:tcW w:w="1110" w:type="dxa"/>
            <w:noWrap w:val="0"/>
            <w:vAlign w:val="center"/>
          </w:tcPr>
          <w:p>
            <w:pPr>
              <w:pStyle w:val="4"/>
              <w:tabs>
                <w:tab w:val="center" w:pos="4201"/>
                <w:tab w:val="right" w:leader="dot" w:pos="9298"/>
              </w:tabs>
              <w:ind w:firstLine="0" w:firstLineChars="0"/>
              <w:rPr>
                <w:rFonts w:hint="eastAsia" w:ascii="仿宋_GB2312" w:hAnsi="仿宋_GB2312" w:eastAsia="仿宋_GB2312" w:cs="仿宋_GB2312"/>
                <w:color w:val="auto"/>
                <w:kern w:val="0"/>
                <w:sz w:val="20"/>
                <w:szCs w:val="20"/>
                <w:highlight w:val="none"/>
                <w:lang w:val="en-US" w:eastAsia="zh-CN" w:bidi="ar-SA"/>
              </w:rPr>
            </w:pPr>
          </w:p>
        </w:tc>
        <w:tc>
          <w:tcPr>
            <w:tcW w:w="1966" w:type="dxa"/>
            <w:noWrap w:val="0"/>
            <w:vAlign w:val="center"/>
          </w:tcPr>
          <w:p>
            <w:pPr>
              <w:pStyle w:val="4"/>
              <w:tabs>
                <w:tab w:val="center" w:pos="4201"/>
                <w:tab w:val="right" w:leader="dot" w:pos="9298"/>
              </w:tabs>
              <w:ind w:firstLine="0" w:firstLineChars="0"/>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批准发布后12个月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blHeader/>
          <w:jc w:val="center"/>
        </w:trPr>
        <w:tc>
          <w:tcPr>
            <w:tcW w:w="673" w:type="dxa"/>
            <w:noWrap/>
            <w:vAlign w:val="center"/>
          </w:tcPr>
          <w:p>
            <w:pPr>
              <w:widowControl/>
              <w:numPr>
                <w:ilvl w:val="0"/>
                <w:numId w:val="1"/>
              </w:numPr>
              <w:spacing w:line="288" w:lineRule="auto"/>
              <w:ind w:left="425" w:leftChars="0" w:hanging="425" w:firstLineChars="0"/>
              <w:jc w:val="center"/>
              <w:rPr>
                <w:rFonts w:hint="eastAsia" w:ascii="仿宋_GB2312" w:hAnsi="仿宋_GB2312" w:eastAsia="仿宋_GB2312" w:cs="仿宋_GB2312"/>
                <w:color w:val="auto"/>
                <w:kern w:val="0"/>
                <w:sz w:val="20"/>
                <w:szCs w:val="20"/>
                <w:highlight w:val="none"/>
                <w:lang w:val="en-US" w:eastAsia="zh-CN" w:bidi="ar-SA"/>
              </w:rPr>
            </w:pPr>
          </w:p>
        </w:tc>
        <w:tc>
          <w:tcPr>
            <w:tcW w:w="1170" w:type="dxa"/>
            <w:noWrap w:val="0"/>
            <w:vAlign w:val="center"/>
          </w:tcPr>
          <w:p>
            <w:pPr>
              <w:pStyle w:val="4"/>
              <w:tabs>
                <w:tab w:val="center" w:pos="4201"/>
                <w:tab w:val="right" w:leader="dot" w:pos="9298"/>
              </w:tabs>
              <w:ind w:firstLine="0" w:firstLineChars="0"/>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20190077-Q-339</w:t>
            </w:r>
          </w:p>
        </w:tc>
        <w:tc>
          <w:tcPr>
            <w:tcW w:w="1842" w:type="dxa"/>
            <w:noWrap w:val="0"/>
            <w:vAlign w:val="center"/>
          </w:tcPr>
          <w:p>
            <w:pPr>
              <w:pStyle w:val="4"/>
              <w:tabs>
                <w:tab w:val="center" w:pos="4201"/>
                <w:tab w:val="right" w:leader="dot" w:pos="9298"/>
              </w:tabs>
              <w:ind w:firstLine="0" w:firstLineChars="0"/>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婴幼儿及儿童家具安全技术规范</w:t>
            </w:r>
          </w:p>
        </w:tc>
        <w:tc>
          <w:tcPr>
            <w:tcW w:w="5888" w:type="dxa"/>
            <w:noWrap w:val="0"/>
            <w:tcMar>
              <w:left w:w="28" w:type="dxa"/>
              <w:right w:w="28" w:type="dxa"/>
            </w:tcMar>
            <w:vAlign w:val="center"/>
          </w:tcPr>
          <w:p>
            <w:pPr>
              <w:pStyle w:val="4"/>
              <w:tabs>
                <w:tab w:val="center" w:pos="4201"/>
                <w:tab w:val="right" w:leader="dot" w:pos="9298"/>
              </w:tabs>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本文件规定了婴幼儿家具及儿童家具通用安全要求及其特定产品安全要求。</w:t>
            </w:r>
          </w:p>
          <w:p>
            <w:pPr>
              <w:pStyle w:val="4"/>
              <w:tabs>
                <w:tab w:val="center" w:pos="4201"/>
                <w:tab w:val="right" w:leader="dot" w:pos="9298"/>
              </w:tabs>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本文件适用于婴幼儿家具和儿童家具。</w:t>
            </w:r>
          </w:p>
        </w:tc>
        <w:tc>
          <w:tcPr>
            <w:tcW w:w="1920" w:type="dxa"/>
            <w:noWrap w:val="0"/>
            <w:vAlign w:val="top"/>
          </w:tcPr>
          <w:p>
            <w:pPr>
              <w:pStyle w:val="4"/>
              <w:tabs>
                <w:tab w:val="center" w:pos="4201"/>
                <w:tab w:val="right" w:leader="dot" w:pos="9298"/>
              </w:tabs>
              <w:ind w:firstLine="0" w:firstLineChars="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GB 22793.1-2008；</w:t>
            </w:r>
          </w:p>
          <w:p>
            <w:pPr>
              <w:pStyle w:val="4"/>
              <w:tabs>
                <w:tab w:val="center" w:pos="4201"/>
                <w:tab w:val="right" w:leader="dot" w:pos="9298"/>
              </w:tabs>
              <w:ind w:firstLine="0" w:firstLineChars="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GB 24430.1-2009；</w:t>
            </w:r>
          </w:p>
          <w:p>
            <w:pPr>
              <w:pStyle w:val="4"/>
              <w:tabs>
                <w:tab w:val="center" w:pos="4201"/>
                <w:tab w:val="right" w:leader="dot" w:pos="9298"/>
              </w:tabs>
              <w:ind w:firstLine="0" w:firstLineChars="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GB 28007-2011；</w:t>
            </w:r>
          </w:p>
          <w:p>
            <w:pPr>
              <w:pStyle w:val="4"/>
              <w:tabs>
                <w:tab w:val="center" w:pos="4201"/>
                <w:tab w:val="right" w:leader="dot" w:pos="9298"/>
              </w:tabs>
              <w:ind w:firstLine="0" w:firstLineChars="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QB 2453.1-1999</w:t>
            </w:r>
          </w:p>
        </w:tc>
        <w:tc>
          <w:tcPr>
            <w:tcW w:w="1110" w:type="dxa"/>
            <w:noWrap w:val="0"/>
            <w:vAlign w:val="center"/>
          </w:tcPr>
          <w:p>
            <w:pPr>
              <w:pStyle w:val="4"/>
              <w:tabs>
                <w:tab w:val="center" w:pos="4201"/>
                <w:tab w:val="right" w:leader="dot" w:pos="9298"/>
              </w:tabs>
              <w:ind w:firstLine="0" w:firstLineChars="0"/>
              <w:rPr>
                <w:rFonts w:hint="eastAsia" w:ascii="仿宋_GB2312" w:hAnsi="仿宋_GB2312" w:eastAsia="仿宋_GB2312" w:cs="仿宋_GB2312"/>
                <w:color w:val="auto"/>
                <w:kern w:val="0"/>
                <w:sz w:val="20"/>
                <w:szCs w:val="20"/>
                <w:highlight w:val="none"/>
                <w:lang w:val="en-US" w:eastAsia="zh-CN" w:bidi="ar-SA"/>
              </w:rPr>
            </w:pPr>
          </w:p>
        </w:tc>
        <w:tc>
          <w:tcPr>
            <w:tcW w:w="1966" w:type="dxa"/>
            <w:noWrap w:val="0"/>
            <w:vAlign w:val="center"/>
          </w:tcPr>
          <w:p>
            <w:pPr>
              <w:pStyle w:val="4"/>
              <w:tabs>
                <w:tab w:val="center" w:pos="4201"/>
                <w:tab w:val="right" w:leader="dot" w:pos="9298"/>
              </w:tabs>
              <w:ind w:firstLine="0" w:firstLineChars="0"/>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批准发布后12个月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blHeader/>
          <w:jc w:val="center"/>
        </w:trPr>
        <w:tc>
          <w:tcPr>
            <w:tcW w:w="673" w:type="dxa"/>
            <w:noWrap/>
            <w:vAlign w:val="center"/>
          </w:tcPr>
          <w:p>
            <w:pPr>
              <w:widowControl/>
              <w:numPr>
                <w:ilvl w:val="0"/>
                <w:numId w:val="1"/>
              </w:numPr>
              <w:spacing w:line="288" w:lineRule="auto"/>
              <w:ind w:left="425" w:leftChars="0" w:hanging="425" w:firstLineChars="0"/>
              <w:jc w:val="center"/>
              <w:rPr>
                <w:rFonts w:hint="eastAsia" w:ascii="仿宋_GB2312" w:hAnsi="仿宋_GB2312" w:eastAsia="仿宋_GB2312" w:cs="仿宋_GB2312"/>
                <w:color w:val="auto"/>
                <w:kern w:val="0"/>
                <w:sz w:val="20"/>
                <w:szCs w:val="20"/>
                <w:highlight w:val="none"/>
                <w:lang w:val="en-US" w:eastAsia="zh-CN" w:bidi="ar-SA"/>
              </w:rPr>
            </w:pPr>
          </w:p>
        </w:tc>
        <w:tc>
          <w:tcPr>
            <w:tcW w:w="1170" w:type="dxa"/>
            <w:noWrap w:val="0"/>
            <w:vAlign w:val="center"/>
          </w:tcPr>
          <w:p>
            <w:pPr>
              <w:pStyle w:val="4"/>
              <w:tabs>
                <w:tab w:val="center" w:pos="4201"/>
                <w:tab w:val="right" w:leader="dot" w:pos="9298"/>
              </w:tabs>
              <w:ind w:firstLine="0" w:firstLineChars="0"/>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20190066-Q-339</w:t>
            </w:r>
          </w:p>
        </w:tc>
        <w:tc>
          <w:tcPr>
            <w:tcW w:w="1842" w:type="dxa"/>
            <w:noWrap w:val="0"/>
            <w:vAlign w:val="center"/>
          </w:tcPr>
          <w:p>
            <w:pPr>
              <w:pStyle w:val="4"/>
              <w:tabs>
                <w:tab w:val="center" w:pos="4201"/>
                <w:tab w:val="right" w:leader="dot" w:pos="9298"/>
              </w:tabs>
              <w:ind w:firstLine="0" w:firstLineChars="0"/>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自行车安全要求 第2部分：城市和旅行用自行车、青少年自行车、山地自行车与竞赛自行车的要求</w:t>
            </w:r>
          </w:p>
        </w:tc>
        <w:tc>
          <w:tcPr>
            <w:tcW w:w="5888" w:type="dxa"/>
            <w:noWrap w:val="0"/>
            <w:tcMar>
              <w:left w:w="28" w:type="dxa"/>
              <w:right w:w="28" w:type="dxa"/>
            </w:tcMar>
            <w:vAlign w:val="center"/>
          </w:tcPr>
          <w:p>
            <w:pPr>
              <w:pStyle w:val="4"/>
              <w:tabs>
                <w:tab w:val="center" w:pos="4201"/>
                <w:tab w:val="right" w:leader="dot" w:pos="9298"/>
              </w:tabs>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本文件规定了各种鞍座高度的自行车及其零部件在设计、装配和试验方面的安全和性能要求，同时为制造商编制自行车使用和保养方面的操作说明给出了技术指南。</w:t>
            </w:r>
          </w:p>
          <w:p>
            <w:pPr>
              <w:pStyle w:val="4"/>
              <w:tabs>
                <w:tab w:val="center" w:pos="4201"/>
                <w:tab w:val="right" w:leader="dot" w:pos="9298"/>
              </w:tabs>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本文件适用于鞍座最大高度大于等于635 mm且小于750 mm的青少年自行车，鞍座最大高度大于等于635 mm的城市和旅行用自行车、山地自行车与竞赛自行车，包括折叠自行车。共享自行车为城市和旅行用自行车的一种型式。</w:t>
            </w:r>
          </w:p>
          <w:p>
            <w:pPr>
              <w:pStyle w:val="4"/>
              <w:tabs>
                <w:tab w:val="center" w:pos="4201"/>
                <w:tab w:val="right" w:leader="dot" w:pos="9298"/>
              </w:tabs>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本文件不适用于特殊类型的自行车，例如：送货自行车、斜躺式自行车、串列自行车、小轮竞技自行车以及设计和装配用于苛刻条件下骑行的自行车，如经批准的比赛、表演或特技类的自行车。</w:t>
            </w:r>
          </w:p>
        </w:tc>
        <w:tc>
          <w:tcPr>
            <w:tcW w:w="1920" w:type="dxa"/>
            <w:noWrap w:val="0"/>
            <w:vAlign w:val="center"/>
          </w:tcPr>
          <w:p>
            <w:pPr>
              <w:pStyle w:val="4"/>
              <w:tabs>
                <w:tab w:val="center" w:pos="4201"/>
                <w:tab w:val="right" w:leader="dot" w:pos="9298"/>
              </w:tabs>
              <w:ind w:firstLine="0" w:firstLineChars="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GB 3565-2005</w:t>
            </w:r>
          </w:p>
        </w:tc>
        <w:tc>
          <w:tcPr>
            <w:tcW w:w="1110" w:type="dxa"/>
            <w:noWrap w:val="0"/>
            <w:vAlign w:val="center"/>
          </w:tcPr>
          <w:p>
            <w:pPr>
              <w:pStyle w:val="4"/>
              <w:tabs>
                <w:tab w:val="center" w:pos="4201"/>
                <w:tab w:val="right" w:leader="dot" w:pos="9298"/>
              </w:tabs>
              <w:ind w:firstLine="0" w:firstLineChars="0"/>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ISO 4210-2:2015 MOD</w:t>
            </w:r>
          </w:p>
        </w:tc>
        <w:tc>
          <w:tcPr>
            <w:tcW w:w="1966" w:type="dxa"/>
            <w:noWrap w:val="0"/>
            <w:vAlign w:val="center"/>
          </w:tcPr>
          <w:p>
            <w:pPr>
              <w:pStyle w:val="4"/>
              <w:tabs>
                <w:tab w:val="center" w:pos="4201"/>
                <w:tab w:val="right" w:leader="dot" w:pos="9298"/>
              </w:tabs>
              <w:ind w:firstLine="0" w:firstLineChars="0"/>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批准发布后9个月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blHeader/>
          <w:jc w:val="center"/>
        </w:trPr>
        <w:tc>
          <w:tcPr>
            <w:tcW w:w="673" w:type="dxa"/>
            <w:noWrap/>
            <w:vAlign w:val="center"/>
          </w:tcPr>
          <w:p>
            <w:pPr>
              <w:widowControl/>
              <w:numPr>
                <w:ilvl w:val="0"/>
                <w:numId w:val="1"/>
              </w:numPr>
              <w:spacing w:line="288" w:lineRule="auto"/>
              <w:ind w:left="425" w:leftChars="0" w:hanging="425" w:firstLineChars="0"/>
              <w:jc w:val="center"/>
              <w:rPr>
                <w:rFonts w:hint="eastAsia" w:ascii="仿宋_GB2312" w:hAnsi="仿宋_GB2312" w:eastAsia="仿宋_GB2312" w:cs="仿宋_GB2312"/>
                <w:color w:val="auto"/>
                <w:kern w:val="0"/>
                <w:sz w:val="20"/>
                <w:szCs w:val="20"/>
                <w:highlight w:val="none"/>
                <w:lang w:val="en-US" w:eastAsia="zh-CN" w:bidi="ar-SA"/>
              </w:rPr>
            </w:pPr>
          </w:p>
        </w:tc>
        <w:tc>
          <w:tcPr>
            <w:tcW w:w="1170" w:type="dxa"/>
            <w:noWrap w:val="0"/>
            <w:vAlign w:val="center"/>
          </w:tcPr>
          <w:p>
            <w:pPr>
              <w:pStyle w:val="4"/>
              <w:tabs>
                <w:tab w:val="center" w:pos="4201"/>
                <w:tab w:val="right" w:leader="dot" w:pos="9298"/>
              </w:tabs>
              <w:ind w:firstLine="0" w:firstLineChars="0"/>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20141805-Q-607</w:t>
            </w:r>
          </w:p>
        </w:tc>
        <w:tc>
          <w:tcPr>
            <w:tcW w:w="1842" w:type="dxa"/>
            <w:noWrap w:val="0"/>
            <w:vAlign w:val="center"/>
          </w:tcPr>
          <w:p>
            <w:pPr>
              <w:pStyle w:val="4"/>
              <w:tabs>
                <w:tab w:val="center" w:pos="4201"/>
                <w:tab w:val="right" w:leader="dot" w:pos="9298"/>
              </w:tabs>
              <w:ind w:firstLine="0" w:firstLineChars="0"/>
              <w:rPr>
                <w:rFonts w:hint="eastAsia" w:ascii="仿宋_GB2312" w:hAnsi="仿宋_GB2312" w:eastAsia="仿宋_GB2312" w:cs="仿宋_GB2312"/>
                <w:color w:val="auto"/>
                <w:kern w:val="0"/>
                <w:sz w:val="20"/>
                <w:szCs w:val="20"/>
                <w:highlight w:val="none"/>
                <w:lang w:val="en-US" w:eastAsia="zh-CN" w:bidi="ar-SA"/>
              </w:rPr>
            </w:pPr>
            <w:bookmarkStart w:id="1" w:name="_GoBack"/>
            <w:r>
              <w:rPr>
                <w:rFonts w:hint="eastAsia" w:ascii="仿宋_GB2312" w:hAnsi="仿宋_GB2312" w:eastAsia="仿宋_GB2312" w:cs="仿宋_GB2312"/>
                <w:color w:val="auto"/>
                <w:kern w:val="0"/>
                <w:sz w:val="20"/>
                <w:szCs w:val="20"/>
                <w:highlight w:val="none"/>
                <w:lang w:val="en-US" w:eastAsia="zh-CN" w:bidi="ar-SA"/>
              </w:rPr>
              <w:t>电动自行车电气安全要求</w:t>
            </w:r>
            <w:bookmarkEnd w:id="1"/>
          </w:p>
        </w:tc>
        <w:tc>
          <w:tcPr>
            <w:tcW w:w="5888" w:type="dxa"/>
            <w:noWrap w:val="0"/>
            <w:tcMar>
              <w:left w:w="28" w:type="dxa"/>
              <w:right w:w="28" w:type="dxa"/>
            </w:tcMar>
            <w:vAlign w:val="center"/>
          </w:tcPr>
          <w:p>
            <w:pPr>
              <w:pStyle w:val="4"/>
              <w:tabs>
                <w:tab w:val="center" w:pos="4201"/>
                <w:tab w:val="right" w:leader="dot" w:pos="9298"/>
              </w:tabs>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本文件规定了电动自行车电气安全的标识、警示语、布线、导线、连接、电压、绝缘电阻、电气强度、发热、防护、耐温与耐湿、振动与冲击的要求和试验方法。</w:t>
            </w:r>
          </w:p>
          <w:p>
            <w:pPr>
              <w:pStyle w:val="4"/>
              <w:tabs>
                <w:tab w:val="center" w:pos="4201"/>
                <w:tab w:val="right" w:leader="dot" w:pos="9298"/>
              </w:tabs>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本文件适用于QB/T 1714所界定的助力自行车所包含的电动车辆。</w:t>
            </w:r>
          </w:p>
        </w:tc>
        <w:tc>
          <w:tcPr>
            <w:tcW w:w="1920" w:type="dxa"/>
            <w:noWrap w:val="0"/>
            <w:vAlign w:val="center"/>
          </w:tcPr>
          <w:p>
            <w:pPr>
              <w:pStyle w:val="4"/>
              <w:tabs>
                <w:tab w:val="center" w:pos="4201"/>
                <w:tab w:val="right" w:leader="dot" w:pos="9298"/>
              </w:tabs>
              <w:ind w:firstLine="0" w:firstLineChars="0"/>
              <w:jc w:val="left"/>
              <w:rPr>
                <w:rFonts w:hint="eastAsia" w:ascii="仿宋_GB2312" w:hAnsi="仿宋_GB2312" w:eastAsia="仿宋_GB2312" w:cs="仿宋_GB2312"/>
                <w:color w:val="auto"/>
                <w:kern w:val="0"/>
                <w:sz w:val="20"/>
                <w:szCs w:val="20"/>
                <w:highlight w:val="none"/>
                <w:lang w:val="en-US" w:eastAsia="zh-CN" w:bidi="ar-SA"/>
              </w:rPr>
            </w:pPr>
          </w:p>
        </w:tc>
        <w:tc>
          <w:tcPr>
            <w:tcW w:w="1110" w:type="dxa"/>
            <w:noWrap w:val="0"/>
            <w:vAlign w:val="center"/>
          </w:tcPr>
          <w:p>
            <w:pPr>
              <w:pStyle w:val="4"/>
              <w:tabs>
                <w:tab w:val="center" w:pos="4201"/>
                <w:tab w:val="right" w:leader="dot" w:pos="9298"/>
              </w:tabs>
              <w:ind w:firstLine="0" w:firstLineChars="0"/>
              <w:rPr>
                <w:rFonts w:hint="eastAsia" w:ascii="仿宋_GB2312" w:hAnsi="仿宋_GB2312" w:eastAsia="仿宋_GB2312" w:cs="仿宋_GB2312"/>
                <w:color w:val="auto"/>
                <w:kern w:val="0"/>
                <w:sz w:val="20"/>
                <w:szCs w:val="20"/>
                <w:highlight w:val="none"/>
                <w:lang w:val="en-US" w:eastAsia="zh-CN" w:bidi="ar-SA"/>
              </w:rPr>
            </w:pPr>
          </w:p>
        </w:tc>
        <w:tc>
          <w:tcPr>
            <w:tcW w:w="1966" w:type="dxa"/>
            <w:noWrap w:val="0"/>
            <w:vAlign w:val="center"/>
          </w:tcPr>
          <w:p>
            <w:pPr>
              <w:pStyle w:val="4"/>
              <w:tabs>
                <w:tab w:val="center" w:pos="4201"/>
                <w:tab w:val="right" w:leader="dot" w:pos="9298"/>
              </w:tabs>
              <w:ind w:firstLine="0" w:firstLineChars="0"/>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批准发布后12个月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blHeader/>
          <w:jc w:val="center"/>
        </w:trPr>
        <w:tc>
          <w:tcPr>
            <w:tcW w:w="673" w:type="dxa"/>
            <w:noWrap/>
            <w:vAlign w:val="center"/>
          </w:tcPr>
          <w:p>
            <w:pPr>
              <w:widowControl/>
              <w:numPr>
                <w:ilvl w:val="0"/>
                <w:numId w:val="1"/>
              </w:numPr>
              <w:spacing w:line="288" w:lineRule="auto"/>
              <w:ind w:left="425" w:leftChars="0" w:hanging="425" w:firstLineChars="0"/>
              <w:jc w:val="center"/>
              <w:rPr>
                <w:rFonts w:hint="eastAsia" w:ascii="仿宋_GB2312" w:hAnsi="仿宋_GB2312" w:eastAsia="仿宋_GB2312" w:cs="仿宋_GB2312"/>
                <w:color w:val="auto"/>
                <w:kern w:val="0"/>
                <w:sz w:val="20"/>
                <w:szCs w:val="20"/>
                <w:highlight w:val="none"/>
                <w:lang w:val="en-US" w:eastAsia="zh-CN" w:bidi="ar-SA"/>
              </w:rPr>
            </w:pPr>
          </w:p>
        </w:tc>
        <w:tc>
          <w:tcPr>
            <w:tcW w:w="1170" w:type="dxa"/>
            <w:noWrap w:val="0"/>
            <w:vAlign w:val="center"/>
          </w:tcPr>
          <w:p>
            <w:pPr>
              <w:pStyle w:val="4"/>
              <w:tabs>
                <w:tab w:val="center" w:pos="4201"/>
                <w:tab w:val="right" w:leader="dot" w:pos="9298"/>
              </w:tabs>
              <w:ind w:firstLine="0" w:firstLineChars="0"/>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20081952-Q-607</w:t>
            </w:r>
          </w:p>
        </w:tc>
        <w:tc>
          <w:tcPr>
            <w:tcW w:w="1842" w:type="dxa"/>
            <w:noWrap w:val="0"/>
            <w:vAlign w:val="center"/>
          </w:tcPr>
          <w:p>
            <w:pPr>
              <w:pStyle w:val="4"/>
              <w:tabs>
                <w:tab w:val="center" w:pos="4201"/>
                <w:tab w:val="right" w:leader="dot" w:pos="9298"/>
              </w:tabs>
              <w:ind w:firstLine="0" w:firstLineChars="0"/>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耐热玻璃器具的安全与卫生要求</w:t>
            </w:r>
          </w:p>
        </w:tc>
        <w:tc>
          <w:tcPr>
            <w:tcW w:w="5888" w:type="dxa"/>
            <w:noWrap w:val="0"/>
            <w:tcMar>
              <w:left w:w="28" w:type="dxa"/>
              <w:right w:w="28" w:type="dxa"/>
            </w:tcMar>
            <w:vAlign w:val="center"/>
          </w:tcPr>
          <w:p>
            <w:pPr>
              <w:pStyle w:val="4"/>
              <w:tabs>
                <w:tab w:val="center" w:pos="4201"/>
                <w:tab w:val="right" w:leader="dot" w:pos="9298"/>
              </w:tabs>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本文件规定了耐热玻璃器具的术语和定义、技术要求、试验方法。</w:t>
            </w:r>
          </w:p>
          <w:p>
            <w:pPr>
              <w:pStyle w:val="4"/>
              <w:tabs>
                <w:tab w:val="center" w:pos="4201"/>
                <w:tab w:val="right" w:leader="dot" w:pos="9298"/>
              </w:tabs>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本文件适用于各种耐热玻璃器具的安全与卫生要求。</w:t>
            </w:r>
          </w:p>
        </w:tc>
        <w:tc>
          <w:tcPr>
            <w:tcW w:w="1920" w:type="dxa"/>
            <w:noWrap w:val="0"/>
            <w:vAlign w:val="center"/>
          </w:tcPr>
          <w:p>
            <w:pPr>
              <w:pStyle w:val="4"/>
              <w:tabs>
                <w:tab w:val="center" w:pos="4201"/>
                <w:tab w:val="right" w:leader="dot" w:pos="9298"/>
              </w:tabs>
              <w:ind w:firstLine="0" w:firstLineChars="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GB17762-1999</w:t>
            </w:r>
          </w:p>
        </w:tc>
        <w:tc>
          <w:tcPr>
            <w:tcW w:w="1110" w:type="dxa"/>
            <w:noWrap w:val="0"/>
            <w:vAlign w:val="center"/>
          </w:tcPr>
          <w:p>
            <w:pPr>
              <w:pStyle w:val="4"/>
              <w:tabs>
                <w:tab w:val="center" w:pos="4201"/>
                <w:tab w:val="right" w:leader="dot" w:pos="9298"/>
              </w:tabs>
              <w:ind w:firstLine="0" w:firstLineChars="0"/>
              <w:rPr>
                <w:rFonts w:hint="eastAsia" w:ascii="仿宋_GB2312" w:hAnsi="仿宋_GB2312" w:eastAsia="仿宋_GB2312" w:cs="仿宋_GB2312"/>
                <w:color w:val="auto"/>
                <w:kern w:val="0"/>
                <w:sz w:val="20"/>
                <w:szCs w:val="20"/>
                <w:highlight w:val="none"/>
                <w:lang w:val="en-US" w:eastAsia="zh-CN" w:bidi="ar-SA"/>
              </w:rPr>
            </w:pPr>
          </w:p>
        </w:tc>
        <w:tc>
          <w:tcPr>
            <w:tcW w:w="1966" w:type="dxa"/>
            <w:noWrap w:val="0"/>
            <w:vAlign w:val="center"/>
          </w:tcPr>
          <w:p>
            <w:pPr>
              <w:pStyle w:val="4"/>
              <w:tabs>
                <w:tab w:val="center" w:pos="4201"/>
                <w:tab w:val="right" w:leader="dot" w:pos="9298"/>
              </w:tabs>
              <w:ind w:firstLine="0" w:firstLineChars="0"/>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批准发布后12个月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blHeader/>
          <w:jc w:val="center"/>
        </w:trPr>
        <w:tc>
          <w:tcPr>
            <w:tcW w:w="673" w:type="dxa"/>
            <w:noWrap/>
            <w:vAlign w:val="center"/>
          </w:tcPr>
          <w:p>
            <w:pPr>
              <w:widowControl/>
              <w:numPr>
                <w:ilvl w:val="0"/>
                <w:numId w:val="1"/>
              </w:numPr>
              <w:spacing w:line="288" w:lineRule="auto"/>
              <w:ind w:left="425" w:leftChars="0" w:hanging="425" w:firstLineChars="0"/>
              <w:jc w:val="center"/>
              <w:rPr>
                <w:rFonts w:hint="eastAsia" w:ascii="仿宋_GB2312" w:hAnsi="仿宋_GB2312" w:eastAsia="仿宋_GB2312" w:cs="仿宋_GB2312"/>
                <w:color w:val="auto"/>
                <w:kern w:val="0"/>
                <w:sz w:val="20"/>
                <w:szCs w:val="20"/>
                <w:highlight w:val="none"/>
                <w:lang w:val="en-US" w:eastAsia="zh-CN" w:bidi="ar-SA"/>
              </w:rPr>
            </w:pPr>
          </w:p>
        </w:tc>
        <w:tc>
          <w:tcPr>
            <w:tcW w:w="1170" w:type="dxa"/>
            <w:noWrap w:val="0"/>
            <w:vAlign w:val="center"/>
          </w:tcPr>
          <w:p>
            <w:pPr>
              <w:pStyle w:val="4"/>
              <w:tabs>
                <w:tab w:val="center" w:pos="4201"/>
                <w:tab w:val="right" w:leader="dot" w:pos="9298"/>
              </w:tabs>
              <w:ind w:firstLine="0" w:firstLineChars="0"/>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20183375-Q-339</w:t>
            </w:r>
          </w:p>
        </w:tc>
        <w:tc>
          <w:tcPr>
            <w:tcW w:w="1842" w:type="dxa"/>
            <w:noWrap w:val="0"/>
            <w:vAlign w:val="center"/>
          </w:tcPr>
          <w:p>
            <w:pPr>
              <w:pStyle w:val="4"/>
              <w:tabs>
                <w:tab w:val="center" w:pos="4201"/>
                <w:tab w:val="right" w:leader="dot" w:pos="9298"/>
              </w:tabs>
              <w:ind w:firstLine="0" w:firstLineChars="0"/>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便携式电子产品用锂离子电池和电池组 安全技术规范</w:t>
            </w:r>
          </w:p>
        </w:tc>
        <w:tc>
          <w:tcPr>
            <w:tcW w:w="5888" w:type="dxa"/>
            <w:noWrap w:val="0"/>
            <w:tcMar>
              <w:left w:w="28" w:type="dxa"/>
              <w:right w:w="28" w:type="dxa"/>
            </w:tcMar>
            <w:vAlign w:val="center"/>
          </w:tcPr>
          <w:p>
            <w:pPr>
              <w:pStyle w:val="4"/>
              <w:tabs>
                <w:tab w:val="center" w:pos="4201"/>
                <w:tab w:val="right" w:leader="dot" w:pos="9298"/>
              </w:tabs>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本文件规定了便携式电子产品用锂离子电池和电池组的安全技术规范。</w:t>
            </w:r>
          </w:p>
          <w:p>
            <w:pPr>
              <w:pStyle w:val="4"/>
              <w:tabs>
                <w:tab w:val="center" w:pos="4201"/>
                <w:tab w:val="right" w:leader="dot" w:pos="9298"/>
              </w:tabs>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本文件适用于便携式电子产品用的锂离子电池和电池组（以下简称为电池和电池组），属于本文件范围内的便携式电子产品示例如下：</w:t>
            </w:r>
          </w:p>
          <w:p>
            <w:pPr>
              <w:pStyle w:val="4"/>
              <w:tabs>
                <w:tab w:val="center" w:pos="4201"/>
                <w:tab w:val="right" w:leader="dot" w:pos="9298"/>
              </w:tabs>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a）便携式办公产品：笔记本电脑、平板电脑等；</w:t>
            </w:r>
          </w:p>
          <w:p>
            <w:pPr>
              <w:pStyle w:val="4"/>
              <w:tabs>
                <w:tab w:val="center" w:pos="4201"/>
                <w:tab w:val="right" w:leader="dot" w:pos="9298"/>
              </w:tabs>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b）移动通信产品：手机、无绳电话、对讲机等；</w:t>
            </w:r>
          </w:p>
          <w:p>
            <w:pPr>
              <w:pStyle w:val="4"/>
              <w:tabs>
                <w:tab w:val="center" w:pos="4201"/>
                <w:tab w:val="right" w:leader="dot" w:pos="9298"/>
              </w:tabs>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c）便携式音/视频产品：便携式电视机、便携式音/视频播放器、照相机、摄像机、录音笔、蓝牙耳机、便携式音箱等；</w:t>
            </w:r>
          </w:p>
          <w:p>
            <w:pPr>
              <w:pStyle w:val="4"/>
              <w:tabs>
                <w:tab w:val="center" w:pos="4201"/>
                <w:tab w:val="right" w:leader="dot" w:pos="9298"/>
              </w:tabs>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d）其他便携式产品：电子导航器、数码相框、游戏机、电子书、移动电源、便携式储能电源、便携式投影仪、可穿戴设备等。</w:t>
            </w:r>
          </w:p>
          <w:p>
            <w:pPr>
              <w:pStyle w:val="4"/>
              <w:tabs>
                <w:tab w:val="center" w:pos="4201"/>
                <w:tab w:val="right" w:leader="dot" w:pos="9298"/>
              </w:tabs>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上述所列举的便携式电子产品并未包括所有的产品，因此未列出的产品并不一定不在本文件的范围内。</w:t>
            </w:r>
          </w:p>
          <w:p>
            <w:pPr>
              <w:pStyle w:val="4"/>
              <w:tabs>
                <w:tab w:val="center" w:pos="4201"/>
                <w:tab w:val="right" w:leader="dot" w:pos="9298"/>
              </w:tabs>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对于在车辆、船舶、飞机上等特定场合使用，以及对于医疗、采矿、海底作业等特殊领域使用的便携式电子产品用锂离子电池或电池组可能会有附加要求。本文件不适用于电子烟用锂离子电池和电池组。</w:t>
            </w:r>
          </w:p>
        </w:tc>
        <w:tc>
          <w:tcPr>
            <w:tcW w:w="1920" w:type="dxa"/>
            <w:noWrap w:val="0"/>
            <w:vAlign w:val="center"/>
          </w:tcPr>
          <w:p>
            <w:pPr>
              <w:pStyle w:val="4"/>
              <w:tabs>
                <w:tab w:val="center" w:pos="4201"/>
                <w:tab w:val="right" w:leader="dot" w:pos="9298"/>
              </w:tabs>
              <w:ind w:firstLine="0" w:firstLineChars="0"/>
              <w:jc w:val="left"/>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GB 31241-2014</w:t>
            </w:r>
          </w:p>
        </w:tc>
        <w:tc>
          <w:tcPr>
            <w:tcW w:w="1110" w:type="dxa"/>
            <w:noWrap w:val="0"/>
            <w:vAlign w:val="center"/>
          </w:tcPr>
          <w:p>
            <w:pPr>
              <w:pStyle w:val="4"/>
              <w:tabs>
                <w:tab w:val="center" w:pos="4201"/>
                <w:tab w:val="right" w:leader="dot" w:pos="9298"/>
              </w:tabs>
              <w:ind w:firstLine="0" w:firstLineChars="0"/>
              <w:rPr>
                <w:rFonts w:hint="eastAsia" w:ascii="仿宋_GB2312" w:hAnsi="仿宋_GB2312" w:eastAsia="仿宋_GB2312" w:cs="仿宋_GB2312"/>
                <w:color w:val="auto"/>
                <w:kern w:val="0"/>
                <w:sz w:val="20"/>
                <w:szCs w:val="20"/>
                <w:highlight w:val="none"/>
                <w:lang w:val="en-US" w:eastAsia="zh-CN" w:bidi="ar-SA"/>
              </w:rPr>
            </w:pPr>
          </w:p>
        </w:tc>
        <w:tc>
          <w:tcPr>
            <w:tcW w:w="1966" w:type="dxa"/>
            <w:noWrap w:val="0"/>
            <w:vAlign w:val="center"/>
          </w:tcPr>
          <w:p>
            <w:pPr>
              <w:pStyle w:val="4"/>
              <w:tabs>
                <w:tab w:val="center" w:pos="4201"/>
                <w:tab w:val="right" w:leader="dot" w:pos="9298"/>
              </w:tabs>
              <w:ind w:firstLine="0" w:firstLineChars="0"/>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批准发布后6个月</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8E1561"/>
    <w:multiLevelType w:val="singleLevel"/>
    <w:tmpl w:val="858E1561"/>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205B07"/>
    <w:rsid w:val="06545CC4"/>
    <w:rsid w:val="07BD5B57"/>
    <w:rsid w:val="0E750457"/>
    <w:rsid w:val="15394183"/>
    <w:rsid w:val="15DC0E94"/>
    <w:rsid w:val="1AAB7572"/>
    <w:rsid w:val="1D370132"/>
    <w:rsid w:val="22A47729"/>
    <w:rsid w:val="2A5A49B0"/>
    <w:rsid w:val="32FF456E"/>
    <w:rsid w:val="379E31C6"/>
    <w:rsid w:val="38206F46"/>
    <w:rsid w:val="3B033A93"/>
    <w:rsid w:val="3CD84BBA"/>
    <w:rsid w:val="429C0D29"/>
    <w:rsid w:val="47E8435B"/>
    <w:rsid w:val="4EB9772A"/>
    <w:rsid w:val="50816D57"/>
    <w:rsid w:val="54876E9E"/>
    <w:rsid w:val="5B205B07"/>
    <w:rsid w:val="5CB7588A"/>
    <w:rsid w:val="5E1F5481"/>
    <w:rsid w:val="652345B2"/>
    <w:rsid w:val="74D05825"/>
    <w:rsid w:val="7658479D"/>
    <w:rsid w:val="77D24906"/>
    <w:rsid w:val="7BBA1ED7"/>
    <w:rsid w:val="7DC13FFD"/>
    <w:rsid w:val="7F594483"/>
    <w:rsid w:val="BFEA0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段"/>
    <w:qFormat/>
    <w:uiPriority w:val="0"/>
    <w:pPr>
      <w:autoSpaceDE w:val="0"/>
      <w:autoSpaceDN w:val="0"/>
      <w:ind w:firstLine="200" w:firstLineChars="200"/>
      <w:jc w:val="both"/>
    </w:pPr>
    <w:rPr>
      <w:rFonts w:ascii="宋体" w:hAnsiTheme="minorHAnsi" w:eastAsiaTheme="minorEastAsia" w:cstheme="minorBidi"/>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Office_11.1.0.11220_F1E327BC-269C-435d-A152-05C5408002CA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2021-06-03T09:58:00Z</dcterms:created>
  <dc:creator>HGB-BZ-01</dc:creator>
  <cp:lastModifiedBy>86158</cp:lastModifiedBy>
  <dcterms:modified xsi:type="dcterms:W3CDTF">2022-05-09T05:52:50Z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2052-11.1.0.11220</vt:lpwstr>
  </property>
  <property fmtid="{D5CDD505-2E9C-101B-9397-08002B2CF9AE}" pid="3" name="ICV">
    <vt:lpwstr>252117B0613F47AFB8210E262E079BC9</vt:lpwstr>
  </property>
</Properties>
</file>