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430" w:firstLineChars="445"/>
        <w:rPr>
          <w:b/>
          <w:sz w:val="32"/>
          <w:szCs w:val="32"/>
        </w:rPr>
      </w:pPr>
    </w:p>
    <w:p>
      <w:pPr>
        <w:jc w:val="center"/>
        <w:rPr>
          <w:rFonts w:hint="eastAsia"/>
          <w:b/>
          <w:sz w:val="32"/>
          <w:szCs w:val="32"/>
        </w:rPr>
      </w:pPr>
      <w:r>
        <w:rPr>
          <w:rFonts w:hint="eastAsia"/>
          <w:b/>
          <w:sz w:val="32"/>
          <w:szCs w:val="32"/>
        </w:rPr>
        <w:t>《三轮汽车  安全技术规范》（征求意见稿）</w:t>
      </w:r>
    </w:p>
    <w:p>
      <w:pPr>
        <w:jc w:val="center"/>
        <w:rPr>
          <w:b/>
          <w:sz w:val="32"/>
          <w:szCs w:val="32"/>
        </w:rPr>
      </w:pPr>
      <w:r>
        <w:rPr>
          <w:rFonts w:hint="eastAsia"/>
          <w:b/>
          <w:sz w:val="32"/>
          <w:szCs w:val="32"/>
        </w:rPr>
        <w:t>编制说明</w:t>
      </w:r>
    </w:p>
    <w:p>
      <w:pPr>
        <w:spacing w:before="156" w:beforeLines="50" w:after="156" w:afterLines="50" w:line="360" w:lineRule="auto"/>
        <w:ind w:firstLine="472" w:firstLineChars="196"/>
        <w:rPr>
          <w:rFonts w:hint="default" w:ascii="Times New Roman" w:hAnsi="Times New Roman" w:cs="Times New Roman"/>
          <w:b/>
          <w:kern w:val="0"/>
          <w:sz w:val="24"/>
        </w:rPr>
      </w:pPr>
      <w:r>
        <w:rPr>
          <w:rFonts w:hint="default" w:ascii="Times New Roman" w:hAnsi="Times New Roman" w:cs="Times New Roman"/>
          <w:b/>
          <w:kern w:val="0"/>
          <w:sz w:val="24"/>
          <w:lang w:val="en-US" w:eastAsia="zh-CN"/>
        </w:rPr>
        <w:t>一、</w:t>
      </w:r>
      <w:r>
        <w:rPr>
          <w:rFonts w:hint="default" w:ascii="Times New Roman" w:hAnsi="Times New Roman" w:cs="Times New Roman"/>
          <w:b/>
          <w:kern w:val="0"/>
          <w:sz w:val="24"/>
        </w:rPr>
        <w:t>工作简况</w:t>
      </w:r>
    </w:p>
    <w:p>
      <w:pPr>
        <w:adjustRightInd w:val="0"/>
        <w:snapToGrid w:val="0"/>
        <w:spacing w:line="360" w:lineRule="auto"/>
        <w:ind w:firstLine="480" w:firstLineChars="200"/>
        <w:rPr>
          <w:rFonts w:hint="default" w:ascii="Times New Roman" w:hAnsi="Times New Roman" w:eastAsia="黑体" w:cs="Times New Roman"/>
          <w:sz w:val="24"/>
          <w:lang w:val="en-US" w:eastAsia="zh-CN"/>
        </w:rPr>
      </w:pPr>
      <w:r>
        <w:rPr>
          <w:rFonts w:hint="default" w:ascii="Times New Roman" w:hAnsi="Times New Roman" w:eastAsia="黑体" w:cs="Times New Roman"/>
          <w:sz w:val="24"/>
          <w:lang w:val="en-US" w:eastAsia="zh-CN"/>
        </w:rPr>
        <w:t>1、任务来源</w:t>
      </w:r>
    </w:p>
    <w:p>
      <w:pPr>
        <w:spacing w:line="360" w:lineRule="auto"/>
        <w:ind w:firstLine="480"/>
        <w:rPr>
          <w:rFonts w:hint="default" w:ascii="Times New Roman" w:hAnsi="Times New Roman" w:cs="Times New Roman"/>
          <w:sz w:val="24"/>
        </w:rPr>
      </w:pPr>
      <w:r>
        <w:rPr>
          <w:rFonts w:hint="default" w:ascii="Times New Roman" w:hAnsi="Times New Roman" w:cs="Times New Roman"/>
          <w:sz w:val="24"/>
        </w:rPr>
        <w:t>《</w:t>
      </w:r>
      <w:r>
        <w:rPr>
          <w:rFonts w:hint="default" w:ascii="Times New Roman" w:hAnsi="Times New Roman" w:cs="Times New Roman"/>
          <w:sz w:val="24"/>
          <w:szCs w:val="24"/>
        </w:rPr>
        <w:t>三轮汽车  安全技术规范</w:t>
      </w:r>
      <w:r>
        <w:rPr>
          <w:rFonts w:hint="default" w:ascii="Times New Roman" w:hAnsi="Times New Roman" w:cs="Times New Roman"/>
          <w:sz w:val="24"/>
        </w:rPr>
        <w:t>》</w:t>
      </w:r>
      <w:r>
        <w:rPr>
          <w:rFonts w:hint="default" w:ascii="Times New Roman" w:hAnsi="Times New Roman" w:cs="Times New Roman"/>
          <w:sz w:val="24"/>
          <w:szCs w:val="24"/>
        </w:rPr>
        <w:t>标准制修订任务来源于国家标准化管理委员会2021年7月26日的国家标准制修订计划，项目计划</w:t>
      </w:r>
      <w:r>
        <w:rPr>
          <w:rFonts w:hint="default" w:ascii="Times New Roman" w:hAnsi="Times New Roman" w:cs="Times New Roman"/>
          <w:sz w:val="24"/>
        </w:rPr>
        <w:t>号为</w:t>
      </w:r>
      <w:r>
        <w:rPr>
          <w:rFonts w:hint="default" w:ascii="Times New Roman" w:hAnsi="Times New Roman" w:cs="Times New Roman"/>
          <w:sz w:val="24"/>
          <w:szCs w:val="24"/>
        </w:rPr>
        <w:t>20211253-Q-339</w:t>
      </w:r>
      <w:r>
        <w:rPr>
          <w:rFonts w:hint="default" w:ascii="Times New Roman" w:hAnsi="Times New Roman" w:cs="Times New Roman"/>
          <w:sz w:val="24"/>
        </w:rPr>
        <w:t>。本标准由工业和信息化部(339)组织起草并归口，委托</w:t>
      </w:r>
      <w:r>
        <w:rPr>
          <w:rFonts w:hint="default" w:ascii="Times New Roman" w:hAnsi="Times New Roman" w:cs="Times New Roman"/>
          <w:sz w:val="24"/>
          <w:szCs w:val="24"/>
        </w:rPr>
        <w:t>全国低速汽车标准化技术委员会(TC234)执行标准制修订工作</w:t>
      </w:r>
      <w:r>
        <w:rPr>
          <w:rFonts w:hint="default" w:ascii="Times New Roman" w:hAnsi="Times New Roman" w:cs="Times New Roman"/>
          <w:sz w:val="24"/>
        </w:rPr>
        <w:t>，计划主要起草单位</w:t>
      </w:r>
      <w:r>
        <w:rPr>
          <w:rFonts w:hint="default" w:ascii="Times New Roman" w:hAnsi="Times New Roman" w:cs="Times New Roman"/>
          <w:sz w:val="24"/>
          <w:szCs w:val="24"/>
        </w:rPr>
        <w:t>国家农机具质量检验</w:t>
      </w:r>
      <w:r>
        <w:rPr>
          <w:rFonts w:hint="default" w:ascii="Times New Roman" w:hAnsi="Times New Roman" w:cs="Times New Roman"/>
          <w:sz w:val="24"/>
          <w:szCs w:val="24"/>
          <w:lang w:val="en-US" w:eastAsia="zh-CN"/>
        </w:rPr>
        <w:t>检测</w:t>
      </w:r>
      <w:r>
        <w:rPr>
          <w:rFonts w:hint="default" w:ascii="Times New Roman" w:hAnsi="Times New Roman" w:cs="Times New Roman"/>
          <w:sz w:val="24"/>
          <w:szCs w:val="24"/>
        </w:rPr>
        <w:t>中心</w:t>
      </w:r>
      <w:r>
        <w:rPr>
          <w:rFonts w:hint="default" w:ascii="Times New Roman" w:hAnsi="Times New Roman" w:cs="Times New Roman"/>
          <w:sz w:val="24"/>
        </w:rPr>
        <w:t>等，本标准计划于2023年完成。</w:t>
      </w:r>
    </w:p>
    <w:p>
      <w:pPr>
        <w:adjustRightInd w:val="0"/>
        <w:snapToGrid w:val="0"/>
        <w:spacing w:line="360" w:lineRule="auto"/>
        <w:ind w:firstLine="480" w:firstLineChars="200"/>
        <w:rPr>
          <w:rFonts w:hint="default" w:ascii="Times New Roman" w:hAnsi="Times New Roman" w:eastAsia="黑体" w:cs="Times New Roman"/>
          <w:sz w:val="24"/>
          <w:lang w:val="en-US" w:eastAsia="zh-CN"/>
        </w:rPr>
      </w:pPr>
      <w:r>
        <w:rPr>
          <w:rFonts w:hint="default" w:ascii="Times New Roman" w:hAnsi="Times New Roman" w:eastAsia="黑体" w:cs="Times New Roman"/>
          <w:sz w:val="24"/>
          <w:lang w:val="en-US" w:eastAsia="zh-CN"/>
        </w:rPr>
        <w:t>2、起草过程</w:t>
      </w:r>
    </w:p>
    <w:p>
      <w:pPr>
        <w:spacing w:line="360" w:lineRule="auto"/>
        <w:ind w:firstLine="480"/>
        <w:rPr>
          <w:rFonts w:hint="default" w:ascii="Times New Roman" w:hAnsi="Times New Roman" w:eastAsia="黑体" w:cs="Times New Roman"/>
          <w:bCs/>
          <w:sz w:val="24"/>
        </w:rPr>
      </w:pPr>
      <w:r>
        <w:rPr>
          <w:rFonts w:hint="default" w:ascii="Times New Roman" w:hAnsi="Times New Roman" w:cs="Times New Roman"/>
          <w:sz w:val="24"/>
        </w:rPr>
        <w:t>项目下达后，按照项目任务书的要求，</w:t>
      </w:r>
      <w:r>
        <w:rPr>
          <w:rFonts w:hint="default" w:ascii="Times New Roman" w:hAnsi="Times New Roman" w:cs="Times New Roman"/>
          <w:sz w:val="24"/>
          <w:szCs w:val="24"/>
        </w:rPr>
        <w:t>国家农机具质量监督检验中心</w:t>
      </w:r>
      <w:r>
        <w:rPr>
          <w:rFonts w:hint="default" w:ascii="Times New Roman" w:hAnsi="Times New Roman" w:cs="Times New Roman"/>
          <w:sz w:val="24"/>
        </w:rPr>
        <w:t>根据归口单位的要求积极组织相关单位的技术人员成立标准</w:t>
      </w:r>
      <w:r>
        <w:rPr>
          <w:rFonts w:hint="default" w:ascii="Times New Roman" w:hAnsi="Times New Roman" w:cs="Times New Roman" w:eastAsiaTheme="minorEastAsia"/>
          <w:kern w:val="0"/>
          <w:sz w:val="24"/>
          <w:szCs w:val="24"/>
          <w:lang w:val="en-US" w:eastAsia="zh-CN" w:bidi="ar-SA"/>
        </w:rPr>
        <w:t>起草</w:t>
      </w:r>
      <w:r>
        <w:rPr>
          <w:rFonts w:hint="default" w:ascii="Times New Roman" w:hAnsi="Times New Roman" w:cs="Times New Roman"/>
          <w:sz w:val="24"/>
        </w:rPr>
        <w:t>工作组，研究和制定了标准编制工作方案，并按照机械行业标准制修订要求开展各项工作。</w:t>
      </w:r>
    </w:p>
    <w:p>
      <w:pPr>
        <w:spacing w:line="360" w:lineRule="auto"/>
        <w:ind w:firstLine="480"/>
        <w:rPr>
          <w:rFonts w:hint="default" w:ascii="Times New Roman" w:hAnsi="Times New Roman" w:eastAsia="宋体" w:cs="Times New Roman"/>
          <w:sz w:val="24"/>
          <w:lang w:val="en-US" w:eastAsia="zh-CN"/>
        </w:rPr>
      </w:pPr>
      <w:r>
        <w:rPr>
          <w:rFonts w:hint="default" w:ascii="Times New Roman" w:hAnsi="Times New Roman" w:cs="Times New Roman"/>
          <w:bCs/>
          <w:sz w:val="24"/>
        </w:rPr>
        <w:t>按照</w:t>
      </w:r>
      <w:r>
        <w:rPr>
          <w:rFonts w:hint="default" w:ascii="Times New Roman" w:hAnsi="Times New Roman" w:cs="Times New Roman"/>
          <w:sz w:val="24"/>
          <w:szCs w:val="24"/>
        </w:rPr>
        <w:t>全国低速汽车标准化技术委员会安排的研制计划，</w:t>
      </w:r>
      <w:r>
        <w:rPr>
          <w:rFonts w:hint="default" w:ascii="Times New Roman" w:hAnsi="Times New Roman" w:cs="Times New Roman"/>
          <w:sz w:val="24"/>
        </w:rPr>
        <w:t>国家农机具质量监督检验中心组织骨干企业成立了起草工作组。2021年8月起，国家农机具质量监督检验中心根据</w:t>
      </w:r>
      <w:r>
        <w:rPr>
          <w:rFonts w:hint="default" w:ascii="Times New Roman" w:hAnsi="Times New Roman" w:cs="Times New Roman"/>
          <w:sz w:val="24"/>
          <w:szCs w:val="24"/>
        </w:rPr>
        <w:t>全国低速汽车标准化技术委员会</w:t>
      </w:r>
      <w:r>
        <w:rPr>
          <w:rFonts w:hint="default" w:ascii="Times New Roman" w:hAnsi="Times New Roman" w:cs="Times New Roman"/>
          <w:sz w:val="24"/>
        </w:rPr>
        <w:t>标准制修订计划工作安排，组织骨干企业成立了起草工作组，工作组成员均为长期从事</w:t>
      </w:r>
      <w:r>
        <w:rPr>
          <w:rFonts w:hint="default" w:ascii="Times New Roman" w:hAnsi="Times New Roman" w:cs="Times New Roman"/>
          <w:sz w:val="24"/>
          <w:szCs w:val="24"/>
        </w:rPr>
        <w:t>三轮汽车</w:t>
      </w:r>
      <w:r>
        <w:rPr>
          <w:rFonts w:hint="default" w:ascii="Times New Roman" w:hAnsi="Times New Roman" w:cs="Times New Roman"/>
          <w:sz w:val="24"/>
        </w:rPr>
        <w:t>产品生产、设计、检测、标准化的技术和管理人员，具有较丰富的专业知识和实践经验，熟悉标准化工作。工作组成立后，制定了工作计划，明确了内部分工及进度要求，责任落实到人，进行调查研究，并开展了广泛的调研</w:t>
      </w:r>
      <w:r>
        <w:rPr>
          <w:rFonts w:hint="default" w:ascii="Times New Roman" w:hAnsi="Times New Roman" w:cs="Times New Roman"/>
          <w:color w:val="000000"/>
          <w:kern w:val="0"/>
          <w:sz w:val="24"/>
        </w:rPr>
        <w:t>，初步确定了</w:t>
      </w:r>
      <w:r>
        <w:rPr>
          <w:rFonts w:hint="default" w:ascii="Times New Roman" w:hAnsi="Times New Roman" w:cs="Times New Roman"/>
          <w:sz w:val="24"/>
          <w:szCs w:val="24"/>
        </w:rPr>
        <w:t>本标准涉及的主要内容</w:t>
      </w:r>
      <w:r>
        <w:rPr>
          <w:rFonts w:hint="default" w:ascii="Times New Roman" w:hAnsi="Times New Roman" w:cs="Times New Roman"/>
          <w:color w:val="000000"/>
          <w:kern w:val="0"/>
          <w:sz w:val="24"/>
        </w:rPr>
        <w:t>。为规范</w:t>
      </w:r>
      <w:r>
        <w:rPr>
          <w:rFonts w:hint="default" w:ascii="Times New Roman" w:hAnsi="Times New Roman" w:cs="Times New Roman"/>
          <w:sz w:val="24"/>
          <w:szCs w:val="24"/>
        </w:rPr>
        <w:t>三轮汽车</w:t>
      </w:r>
      <w:r>
        <w:rPr>
          <w:rFonts w:hint="default" w:ascii="Times New Roman" w:hAnsi="Times New Roman" w:cs="Times New Roman"/>
          <w:color w:val="000000"/>
          <w:kern w:val="0"/>
          <w:sz w:val="24"/>
        </w:rPr>
        <w:t>产品的使用安全性要求，起草工作组结合行业的实际情况和目前我国国内机动车安全标准要求、三轮汽车现有标准的安全要求和下一步管理需求，</w:t>
      </w:r>
      <w:r>
        <w:rPr>
          <w:rFonts w:hint="default" w:ascii="Times New Roman" w:hAnsi="Times New Roman" w:cs="Times New Roman"/>
          <w:kern w:val="0"/>
          <w:sz w:val="24"/>
        </w:rPr>
        <w:t>参考了GB 7258《机动车运行安全技术条件》、GB 1589《汽车、挂车及汽车列车外廓尺寸、轴荷及质量限值》标准的安全技术要求，确保标准的技术要求与我国机动车的管理标准保持一致。</w:t>
      </w:r>
      <w:r>
        <w:rPr>
          <w:rFonts w:hint="default" w:ascii="Times New Roman" w:hAnsi="Times New Roman" w:cs="Times New Roman"/>
          <w:color w:val="000000"/>
          <w:kern w:val="0"/>
          <w:sz w:val="24"/>
        </w:rPr>
        <w:t>在此基础上，</w:t>
      </w:r>
      <w:r>
        <w:rPr>
          <w:rFonts w:hint="default" w:ascii="Times New Roman" w:hAnsi="Times New Roman" w:cs="Times New Roman"/>
          <w:sz w:val="24"/>
        </w:rPr>
        <w:t>起草了</w:t>
      </w:r>
      <w:r>
        <w:rPr>
          <w:rFonts w:hint="default" w:ascii="Times New Roman" w:hAnsi="Times New Roman" w:cs="Times New Roman"/>
          <w:color w:val="000000"/>
          <w:kern w:val="0"/>
          <w:sz w:val="24"/>
        </w:rPr>
        <w:t>《</w:t>
      </w:r>
      <w:r>
        <w:rPr>
          <w:rFonts w:hint="default" w:ascii="Times New Roman" w:hAnsi="Times New Roman" w:cs="Times New Roman"/>
          <w:sz w:val="24"/>
        </w:rPr>
        <w:t>三轮汽车  安全技术规范</w:t>
      </w:r>
      <w:r>
        <w:rPr>
          <w:rFonts w:hint="default" w:ascii="Times New Roman" w:hAnsi="Times New Roman" w:cs="Times New Roman"/>
          <w:color w:val="000000"/>
          <w:kern w:val="0"/>
          <w:sz w:val="24"/>
        </w:rPr>
        <w:t>》初稿</w:t>
      </w:r>
      <w:r>
        <w:rPr>
          <w:rFonts w:hint="default" w:ascii="Times New Roman" w:hAnsi="Times New Roman" w:cs="Times New Roman"/>
          <w:sz w:val="24"/>
        </w:rPr>
        <w:t>。形成</w:t>
      </w:r>
      <w:r>
        <w:rPr>
          <w:rFonts w:hint="default" w:ascii="Times New Roman" w:hAnsi="Times New Roman" w:cs="Times New Roman"/>
          <w:color w:val="000000"/>
          <w:kern w:val="0"/>
          <w:sz w:val="24"/>
        </w:rPr>
        <w:t>《</w:t>
      </w:r>
      <w:r>
        <w:rPr>
          <w:rFonts w:hint="default" w:ascii="Times New Roman" w:hAnsi="Times New Roman" w:cs="Times New Roman"/>
          <w:sz w:val="24"/>
        </w:rPr>
        <w:t>三轮汽车  安全技术规范</w:t>
      </w:r>
      <w:r>
        <w:rPr>
          <w:rFonts w:hint="default" w:ascii="Times New Roman" w:hAnsi="Times New Roman" w:cs="Times New Roman"/>
          <w:color w:val="000000"/>
          <w:kern w:val="0"/>
          <w:sz w:val="24"/>
        </w:rPr>
        <w:t>》初稿</w:t>
      </w:r>
      <w:r>
        <w:rPr>
          <w:rFonts w:hint="default" w:ascii="Times New Roman" w:hAnsi="Times New Roman" w:cs="Times New Roman"/>
          <w:sz w:val="24"/>
        </w:rPr>
        <w:t>后，为体现标准修订的科学、公开与公正，标准起草工作组人员对三轮汽车骨干生产企业、相关检验检测机构和有关三轮汽车检测试验人员的意见和实地调研，充分考虑了不同三轮汽车产品使用特点，以及不同三轮汽车产品与机动车相关标准的协调一致。</w:t>
      </w:r>
      <w:r>
        <w:rPr>
          <w:rFonts w:hint="default" w:ascii="Times New Roman" w:hAnsi="Times New Roman" w:cs="Times New Roman"/>
          <w:color w:val="000000"/>
          <w:kern w:val="0"/>
          <w:sz w:val="24"/>
        </w:rPr>
        <w:t>2022年1月13日、2022年12月30日、2023年5月31日，</w:t>
      </w:r>
      <w:r>
        <w:rPr>
          <w:rFonts w:hint="default" w:ascii="Times New Roman" w:hAnsi="Times New Roman" w:cs="Times New Roman"/>
          <w:sz w:val="24"/>
        </w:rPr>
        <w:t>全国低速汽车标准化技术委员会组织标准工作组以及有关部门、单位、团体先后三次召开了工作组的强制性标准研讨会和标委会内部的研讨会。按照会议的研讨意见，进一步修改完善形成了</w:t>
      </w:r>
      <w:r>
        <w:rPr>
          <w:rFonts w:hint="default" w:ascii="Times New Roman" w:hAnsi="Times New Roman" w:cs="Times New Roman"/>
          <w:color w:val="000000"/>
          <w:kern w:val="0"/>
          <w:sz w:val="24"/>
        </w:rPr>
        <w:t>《</w:t>
      </w:r>
      <w:r>
        <w:rPr>
          <w:rFonts w:hint="default" w:ascii="Times New Roman" w:hAnsi="Times New Roman" w:cs="Times New Roman"/>
          <w:sz w:val="24"/>
        </w:rPr>
        <w:t>三轮汽车  安全</w:t>
      </w:r>
      <w:r>
        <w:rPr>
          <w:rFonts w:hint="default" w:ascii="Times New Roman" w:hAnsi="Times New Roman" w:cs="Times New Roman" w:eastAsiaTheme="minorEastAsia"/>
          <w:kern w:val="0"/>
          <w:sz w:val="24"/>
          <w:szCs w:val="24"/>
          <w:lang w:val="en-US" w:eastAsia="zh-CN" w:bidi="ar-SA"/>
        </w:rPr>
        <w:t>技术</w:t>
      </w:r>
      <w:r>
        <w:rPr>
          <w:rFonts w:hint="default" w:ascii="Times New Roman" w:hAnsi="Times New Roman" w:cs="Times New Roman"/>
          <w:sz w:val="24"/>
        </w:rPr>
        <w:t>规范</w:t>
      </w:r>
      <w:r>
        <w:rPr>
          <w:rFonts w:hint="default" w:ascii="Times New Roman" w:hAnsi="Times New Roman" w:cs="Times New Roman"/>
          <w:color w:val="000000"/>
          <w:kern w:val="0"/>
          <w:sz w:val="24"/>
        </w:rPr>
        <w:t>》征求意见稿。</w:t>
      </w:r>
      <w:r>
        <w:rPr>
          <w:rFonts w:hint="default" w:ascii="Times New Roman" w:hAnsi="Times New Roman" w:cs="Times New Roman"/>
          <w:color w:val="000000"/>
          <w:kern w:val="0"/>
          <w:sz w:val="24"/>
          <w:lang w:val="en-US" w:eastAsia="zh-CN"/>
        </w:rPr>
        <w:t>2024年5月，按照</w:t>
      </w:r>
      <w:r>
        <w:rPr>
          <w:rFonts w:hint="default" w:ascii="Times New Roman" w:hAnsi="Times New Roman" w:cs="Times New Roman"/>
          <w:sz w:val="24"/>
          <w:lang w:val="en-US" w:eastAsia="zh-CN"/>
        </w:rPr>
        <w:t>工业和信息化部科技司强制性标准推进会</w:t>
      </w:r>
      <w:r>
        <w:rPr>
          <w:rFonts w:hint="default" w:ascii="Times New Roman" w:hAnsi="Times New Roman" w:cs="Times New Roman"/>
          <w:sz w:val="24"/>
        </w:rPr>
        <w:t>的要求</w:t>
      </w:r>
      <w:r>
        <w:rPr>
          <w:rFonts w:hint="default" w:ascii="Times New Roman" w:hAnsi="Times New Roman" w:cs="Times New Roman"/>
          <w:sz w:val="24"/>
          <w:lang w:eastAsia="zh-CN"/>
        </w:rPr>
        <w:t>，</w:t>
      </w:r>
      <w:r>
        <w:rPr>
          <w:rFonts w:hint="default" w:ascii="Times New Roman" w:hAnsi="Times New Roman" w:cs="Times New Roman"/>
          <w:sz w:val="24"/>
          <w:lang w:val="en-US" w:eastAsia="zh-CN"/>
        </w:rPr>
        <w:t>对标准</w:t>
      </w:r>
      <w:r>
        <w:rPr>
          <w:rFonts w:hint="default" w:ascii="Times New Roman" w:hAnsi="Times New Roman" w:cs="Times New Roman"/>
          <w:color w:val="000000"/>
          <w:kern w:val="0"/>
          <w:sz w:val="24"/>
        </w:rPr>
        <w:t>征求意见稿</w:t>
      </w:r>
      <w:r>
        <w:rPr>
          <w:rFonts w:hint="default" w:ascii="Times New Roman" w:hAnsi="Times New Roman" w:cs="Times New Roman"/>
          <w:sz w:val="24"/>
          <w:lang w:val="en-US" w:eastAsia="zh-CN"/>
        </w:rPr>
        <w:t>的相关材料进行调整，形成了上报的</w:t>
      </w:r>
      <w:r>
        <w:rPr>
          <w:rFonts w:hint="default" w:ascii="Times New Roman" w:hAnsi="Times New Roman" w:cs="Times New Roman"/>
          <w:color w:val="000000"/>
          <w:kern w:val="0"/>
          <w:sz w:val="24"/>
        </w:rPr>
        <w:t>《</w:t>
      </w:r>
      <w:r>
        <w:rPr>
          <w:rFonts w:hint="default" w:ascii="Times New Roman" w:hAnsi="Times New Roman" w:cs="Times New Roman"/>
          <w:sz w:val="24"/>
        </w:rPr>
        <w:t>三轮汽车  安全技术规范</w:t>
      </w:r>
      <w:r>
        <w:rPr>
          <w:rFonts w:hint="default" w:ascii="Times New Roman" w:hAnsi="Times New Roman" w:cs="Times New Roman"/>
          <w:color w:val="000000"/>
          <w:kern w:val="0"/>
          <w:sz w:val="24"/>
        </w:rPr>
        <w:t>》征求意见稿</w:t>
      </w:r>
      <w:r>
        <w:rPr>
          <w:rFonts w:hint="default" w:ascii="Times New Roman" w:hAnsi="Times New Roman" w:cs="Times New Roman"/>
          <w:color w:val="000000"/>
          <w:kern w:val="0"/>
          <w:sz w:val="24"/>
          <w:lang w:val="en-US" w:eastAsia="zh-CN"/>
        </w:rPr>
        <w:t>及相关材料。</w:t>
      </w:r>
    </w:p>
    <w:p>
      <w:pPr>
        <w:spacing w:before="156" w:beforeLines="50" w:after="156" w:afterLines="50" w:line="360" w:lineRule="auto"/>
        <w:ind w:firstLine="472" w:firstLineChars="196"/>
        <w:rPr>
          <w:rFonts w:ascii="宋体" w:hAnsi="宋体" w:cs="宋体"/>
          <w:b/>
          <w:kern w:val="0"/>
          <w:sz w:val="24"/>
        </w:rPr>
      </w:pPr>
      <w:r>
        <w:rPr>
          <w:rFonts w:hint="eastAsia" w:ascii="宋体" w:hAnsi="宋体" w:cs="宋体"/>
          <w:b/>
          <w:kern w:val="0"/>
          <w:sz w:val="24"/>
        </w:rPr>
        <w:t>二、标准编制原则和主要技术要求的依据</w:t>
      </w:r>
    </w:p>
    <w:p>
      <w:pPr>
        <w:spacing w:line="360" w:lineRule="auto"/>
        <w:ind w:firstLine="480"/>
        <w:rPr>
          <w:rFonts w:hint="default" w:ascii="Times New Roman" w:hAnsi="Times New Roman" w:cs="Times New Roman" w:eastAsiaTheme="minorEastAsia"/>
          <w:kern w:val="0"/>
          <w:sz w:val="24"/>
          <w:szCs w:val="24"/>
          <w:lang w:val="en-US" w:eastAsia="zh-CN" w:bidi="ar-SA"/>
        </w:rPr>
      </w:pPr>
      <w:r>
        <w:rPr>
          <w:rFonts w:hint="default" w:ascii="Times New Roman" w:hAnsi="Times New Roman" w:cs="Times New Roman" w:eastAsiaTheme="minorEastAsia"/>
          <w:kern w:val="0"/>
          <w:sz w:val="24"/>
          <w:szCs w:val="24"/>
          <w:lang w:val="en-US" w:eastAsia="zh-CN" w:bidi="ar-SA"/>
        </w:rPr>
        <w:t>1、标准编制原则</w:t>
      </w:r>
    </w:p>
    <w:p>
      <w:pPr>
        <w:spacing w:line="360" w:lineRule="auto"/>
        <w:ind w:firstLine="480"/>
        <w:rPr>
          <w:rFonts w:hint="default" w:ascii="Times New Roman" w:hAnsi="Times New Roman" w:cs="Times New Roman" w:eastAsiaTheme="minorEastAsia"/>
          <w:kern w:val="0"/>
          <w:sz w:val="24"/>
          <w:szCs w:val="24"/>
          <w:lang w:val="en-US" w:eastAsia="zh-CN" w:bidi="ar-SA"/>
        </w:rPr>
      </w:pPr>
      <w:r>
        <w:rPr>
          <w:rFonts w:hint="default" w:ascii="Times New Roman" w:hAnsi="Times New Roman" w:cs="Times New Roman" w:eastAsiaTheme="minorEastAsia"/>
          <w:kern w:val="0"/>
          <w:sz w:val="24"/>
          <w:szCs w:val="24"/>
          <w:lang w:val="en-US" w:eastAsia="zh-CN" w:bidi="ar-SA"/>
        </w:rPr>
        <w:t>本强制性国家标准整合制定中，参考了GB 7258—2017、GB 1589—2016等多项强制性国家标准，在编制过程中按照以下原则考虑标准的整合制定：</w:t>
      </w:r>
    </w:p>
    <w:p>
      <w:pPr>
        <w:spacing w:line="360" w:lineRule="auto"/>
        <w:ind w:firstLine="480"/>
        <w:rPr>
          <w:rFonts w:hint="default" w:ascii="Times New Roman" w:hAnsi="Times New Roman" w:cs="Times New Roman" w:eastAsiaTheme="minorEastAsia"/>
          <w:kern w:val="0"/>
          <w:sz w:val="24"/>
          <w:szCs w:val="24"/>
          <w:lang w:val="en-US" w:eastAsia="zh-CN" w:bidi="ar-SA"/>
        </w:rPr>
      </w:pPr>
      <w:r>
        <w:rPr>
          <w:rFonts w:hint="default" w:ascii="Times New Roman" w:hAnsi="Times New Roman" w:cs="Times New Roman" w:eastAsiaTheme="minorEastAsia"/>
          <w:kern w:val="0"/>
          <w:sz w:val="24"/>
          <w:szCs w:val="24"/>
          <w:lang w:val="en-US" w:eastAsia="zh-CN" w:bidi="ar-SA"/>
        </w:rPr>
        <w:t>1）符合GB/T 1.1-2020《标准化工作导则  第1部分：标准化文件的结构和起草规则》；</w:t>
      </w:r>
    </w:p>
    <w:p>
      <w:pPr>
        <w:spacing w:line="360" w:lineRule="auto"/>
        <w:ind w:firstLine="480"/>
        <w:rPr>
          <w:rFonts w:hint="default" w:ascii="Times New Roman" w:hAnsi="Times New Roman" w:cs="Times New Roman" w:eastAsiaTheme="minorEastAsia"/>
          <w:kern w:val="0"/>
          <w:sz w:val="24"/>
          <w:szCs w:val="24"/>
          <w:lang w:val="en-US" w:eastAsia="zh-CN" w:bidi="ar-SA"/>
        </w:rPr>
      </w:pPr>
      <w:r>
        <w:rPr>
          <w:rFonts w:hint="default" w:ascii="Times New Roman" w:hAnsi="Times New Roman" w:cs="Times New Roman" w:eastAsiaTheme="minorEastAsia"/>
          <w:kern w:val="0"/>
          <w:sz w:val="24"/>
          <w:szCs w:val="24"/>
          <w:lang w:val="en-US" w:eastAsia="zh-CN" w:bidi="ar-SA"/>
        </w:rPr>
        <w:t>2）充分考虑三轮汽车在使用、运输等过程中保障人身安全和身体健康；</w:t>
      </w:r>
    </w:p>
    <w:p>
      <w:pPr>
        <w:spacing w:line="360" w:lineRule="auto"/>
        <w:ind w:firstLine="480"/>
        <w:rPr>
          <w:rFonts w:hint="default" w:ascii="Times New Roman" w:hAnsi="Times New Roman" w:cs="Times New Roman" w:eastAsiaTheme="minorEastAsia"/>
          <w:kern w:val="0"/>
          <w:sz w:val="24"/>
          <w:szCs w:val="24"/>
          <w:lang w:val="en-US" w:eastAsia="zh-CN" w:bidi="ar-SA"/>
        </w:rPr>
      </w:pPr>
      <w:r>
        <w:rPr>
          <w:rFonts w:hint="default" w:ascii="Times New Roman" w:hAnsi="Times New Roman" w:cs="Times New Roman" w:eastAsiaTheme="minorEastAsia"/>
          <w:kern w:val="0"/>
          <w:sz w:val="24"/>
          <w:szCs w:val="24"/>
          <w:lang w:val="en-US" w:eastAsia="zh-CN" w:bidi="ar-SA"/>
        </w:rPr>
        <w:t>3）反映我国三轮汽车的技术进步和发展，并与现行的国家政策、法规及相关国家标准协调一致。</w:t>
      </w:r>
    </w:p>
    <w:p>
      <w:pPr>
        <w:spacing w:line="360" w:lineRule="auto"/>
        <w:ind w:firstLine="480"/>
        <w:rPr>
          <w:rFonts w:hint="default" w:ascii="Times New Roman" w:hAnsi="Times New Roman" w:cs="Times New Roman" w:eastAsiaTheme="minorEastAsia"/>
          <w:kern w:val="0"/>
          <w:sz w:val="24"/>
          <w:szCs w:val="24"/>
          <w:lang w:val="en-US" w:eastAsia="zh-CN" w:bidi="ar-SA"/>
        </w:rPr>
      </w:pPr>
      <w:r>
        <w:rPr>
          <w:rFonts w:hint="default" w:ascii="Times New Roman" w:hAnsi="Times New Roman" w:cs="Times New Roman" w:eastAsiaTheme="minorEastAsia"/>
          <w:kern w:val="0"/>
          <w:sz w:val="24"/>
          <w:szCs w:val="24"/>
          <w:lang w:val="en-US" w:eastAsia="zh-CN" w:bidi="ar-SA"/>
        </w:rPr>
        <w:t>2、标准的主要内容</w:t>
      </w:r>
    </w:p>
    <w:p>
      <w:pPr>
        <w:spacing w:line="360" w:lineRule="auto"/>
        <w:ind w:firstLine="480"/>
        <w:rPr>
          <w:rFonts w:hint="default" w:ascii="Times New Roman" w:hAnsi="Times New Roman" w:cs="Times New Roman" w:eastAsiaTheme="minorEastAsia"/>
          <w:kern w:val="0"/>
          <w:sz w:val="24"/>
          <w:szCs w:val="24"/>
          <w:lang w:val="en-US" w:eastAsia="zh-CN" w:bidi="ar-SA"/>
        </w:rPr>
      </w:pPr>
      <w:r>
        <w:rPr>
          <w:rFonts w:hint="default" w:ascii="Times New Roman" w:hAnsi="Times New Roman" w:cs="Times New Roman" w:eastAsiaTheme="minorEastAsia"/>
          <w:kern w:val="0"/>
          <w:sz w:val="24"/>
          <w:szCs w:val="24"/>
          <w:lang w:val="en-US" w:eastAsia="zh-CN" w:bidi="ar-SA"/>
        </w:rPr>
        <w:t>本标准</w:t>
      </w:r>
      <w:r>
        <w:rPr>
          <w:rFonts w:hint="default" w:ascii="Times New Roman" w:hAnsi="Times New Roman" w:cs="Times New Roman" w:eastAsiaTheme="minorEastAsia"/>
          <w:kern w:val="0"/>
          <w:sz w:val="24"/>
          <w:szCs w:val="24"/>
          <w:lang w:val="en-US" w:eastAsia="zh-CN" w:bidi="ar-SA"/>
        </w:rPr>
        <w:t>规定了</w:t>
      </w:r>
      <w:r>
        <w:rPr>
          <w:rFonts w:hint="default" w:ascii="Times New Roman" w:hAnsi="Times New Roman" w:cs="Times New Roman" w:eastAsiaTheme="minorEastAsia"/>
          <w:kern w:val="0"/>
          <w:sz w:val="24"/>
          <w:szCs w:val="24"/>
          <w:lang w:val="en-US" w:eastAsia="zh-CN" w:bidi="ar-SA"/>
        </w:rPr>
        <w:t>三轮汽车的安全要求、使用信息和</w:t>
      </w:r>
      <w:r>
        <w:rPr>
          <w:rFonts w:hint="default" w:ascii="Times New Roman" w:hAnsi="Times New Roman" w:cs="Times New Roman" w:eastAsiaTheme="minorEastAsia"/>
          <w:kern w:val="0"/>
          <w:sz w:val="24"/>
          <w:szCs w:val="24"/>
          <w:lang w:val="en-US" w:eastAsia="zh-CN" w:bidi="ar-SA"/>
        </w:rPr>
        <w:t>安全要求的判定。本标准主要包括以下内容：</w:t>
      </w:r>
    </w:p>
    <w:p>
      <w:pPr>
        <w:spacing w:line="360" w:lineRule="auto"/>
        <w:ind w:firstLine="480"/>
        <w:rPr>
          <w:rFonts w:hint="default" w:ascii="Times New Roman" w:hAnsi="Times New Roman" w:cs="Times New Roman" w:eastAsiaTheme="minorEastAsia"/>
          <w:kern w:val="0"/>
          <w:sz w:val="24"/>
          <w:szCs w:val="24"/>
          <w:lang w:val="en-US" w:eastAsia="zh-CN" w:bidi="ar-SA"/>
        </w:rPr>
      </w:pPr>
      <w:r>
        <w:rPr>
          <w:rFonts w:hint="default" w:ascii="Times New Roman" w:hAnsi="Times New Roman" w:cs="Times New Roman" w:eastAsiaTheme="minorEastAsia"/>
          <w:kern w:val="0"/>
          <w:sz w:val="24"/>
          <w:szCs w:val="24"/>
          <w:lang w:val="en-US" w:eastAsia="zh-CN" w:bidi="ar-SA"/>
        </w:rPr>
        <w:t>1）规定了三轮汽车整机、整机关键部位（部件）、关键性能的安全要求。为了全面规定三轮汽车涉及安全的各方面要求，分别按照三轮汽车整机的一般要求（包括装配要求、比功率、质量利用系数等），关键部位（包括驾驶员工作位置）、关键功能部件（包括操纵控制系统、</w:t>
      </w:r>
      <w:r>
        <w:rPr>
          <w:rFonts w:hint="default" w:ascii="Times New Roman" w:hAnsi="Times New Roman" w:cs="Times New Roman" w:eastAsiaTheme="minorEastAsia"/>
          <w:kern w:val="0"/>
          <w:sz w:val="24"/>
          <w:szCs w:val="24"/>
          <w:lang w:val="en-US" w:eastAsia="zh-CN" w:bidi="ar-SA"/>
        </w:rPr>
        <w:t>管路、燃油和润滑系统等）、安全辅助装置（包括</w:t>
      </w:r>
      <w:r>
        <w:rPr>
          <w:rFonts w:hint="default" w:ascii="Times New Roman" w:hAnsi="Times New Roman" w:cs="Times New Roman" w:eastAsiaTheme="minorEastAsia"/>
          <w:kern w:val="0"/>
          <w:sz w:val="24"/>
          <w:szCs w:val="24"/>
          <w:lang w:val="en-US" w:eastAsia="zh-CN" w:bidi="ar-SA"/>
        </w:rPr>
        <w:t>照明、信号装置和电气设备、安全防护装置、热防护等）涉及安全的要求，关键性能（稳定性、</w:t>
      </w:r>
      <w:r>
        <w:rPr>
          <w:rFonts w:hint="default" w:ascii="Times New Roman" w:hAnsi="Times New Roman" w:cs="Times New Roman" w:eastAsiaTheme="minorEastAsia"/>
          <w:kern w:val="0"/>
          <w:sz w:val="24"/>
          <w:szCs w:val="24"/>
          <w:lang w:val="en-US" w:eastAsia="zh-CN" w:bidi="ar-SA"/>
        </w:rPr>
        <w:t>电气要求、车速和车速表等）涉及安全的要求，考虑到罐式车运输货物液位对稳定性的影响，也在本次整合修定标准时规定了相应的安全技术要求。</w:t>
      </w:r>
    </w:p>
    <w:p>
      <w:pPr>
        <w:spacing w:line="360" w:lineRule="auto"/>
        <w:ind w:firstLine="480"/>
        <w:rPr>
          <w:rFonts w:hint="default" w:ascii="Times New Roman" w:hAnsi="Times New Roman" w:cs="Times New Roman" w:eastAsiaTheme="minorEastAsia"/>
          <w:kern w:val="0"/>
          <w:sz w:val="24"/>
          <w:szCs w:val="24"/>
          <w:lang w:val="en-US" w:eastAsia="zh-CN" w:bidi="ar-SA"/>
        </w:rPr>
      </w:pPr>
      <w:r>
        <w:rPr>
          <w:rFonts w:hint="default" w:ascii="Times New Roman" w:hAnsi="Times New Roman" w:cs="Times New Roman" w:eastAsiaTheme="minorEastAsia"/>
          <w:kern w:val="0"/>
          <w:sz w:val="24"/>
          <w:szCs w:val="24"/>
          <w:lang w:val="en-US" w:eastAsia="zh-CN" w:bidi="ar-SA"/>
        </w:rPr>
        <w:t>2）规定了使用信息直接涉及人身安全、安全管理的规范要求。由于三轮汽车的管理要求和对剩余风险的控制，在本次整合修定标准时重点考虑了三轮汽车整车标记、标志和使用说明书的安全相关要求，在整车标记中，规定了三轮汽车的商标、标牌、</w:t>
      </w:r>
      <w:r>
        <w:rPr>
          <w:rFonts w:hint="default" w:ascii="Times New Roman" w:hAnsi="Times New Roman" w:cs="Times New Roman" w:eastAsiaTheme="minorEastAsia"/>
          <w:kern w:val="0"/>
          <w:sz w:val="24"/>
          <w:szCs w:val="24"/>
          <w:lang w:val="en-US" w:eastAsia="zh-CN" w:bidi="ar-SA"/>
        </w:rPr>
        <w:t>车辆识别代号（VIN）、</w:t>
      </w:r>
      <w:r>
        <w:rPr>
          <w:rFonts w:hint="default" w:ascii="Times New Roman" w:hAnsi="Times New Roman" w:cs="Times New Roman" w:eastAsiaTheme="minorEastAsia"/>
          <w:kern w:val="0"/>
          <w:sz w:val="24"/>
          <w:szCs w:val="24"/>
          <w:lang w:val="en-US" w:eastAsia="zh-CN" w:bidi="ar-SA"/>
        </w:rPr>
        <w:t>发动机型号和出厂编号、号牌板（架）和后号牌板（</w:t>
      </w:r>
      <w:r>
        <w:rPr>
          <w:rFonts w:hint="default" w:ascii="Times New Roman" w:hAnsi="Times New Roman" w:cs="Times New Roman" w:eastAsiaTheme="minorEastAsia"/>
          <w:kern w:val="0"/>
          <w:sz w:val="24"/>
          <w:szCs w:val="24"/>
          <w:lang w:val="en-US" w:eastAsia="zh-CN" w:bidi="ar-SA"/>
        </w:rPr>
        <w:t>架）</w:t>
      </w:r>
      <w:r>
        <w:rPr>
          <w:rFonts w:hint="default" w:ascii="Times New Roman" w:hAnsi="Times New Roman" w:cs="Times New Roman" w:eastAsiaTheme="minorEastAsia"/>
          <w:kern w:val="0"/>
          <w:sz w:val="24"/>
          <w:szCs w:val="24"/>
          <w:lang w:val="en-US" w:eastAsia="zh-CN" w:bidi="ar-SA"/>
        </w:rPr>
        <w:t>安装孔的要求，以方便车辆使用中的管理。在整车标志中，规定了操纵件、指示器及信号装置以及提示驾驶员或维护保养人员相关剩余风险的安全标志，考虑到GB/T 19122对三轮汽车操纵件、指示器及信号装置涉及的图形标志有详细明确规定，因此，本次整合修订直接引用了GB/T 19122的要求。在使用说明书中，结合实际使用、维修、维护保养的危险状态，规定了在使用说明书中应明确的安全信息。</w:t>
      </w:r>
    </w:p>
    <w:p>
      <w:pPr>
        <w:spacing w:line="360" w:lineRule="auto"/>
        <w:ind w:firstLine="480"/>
        <w:rPr>
          <w:rFonts w:hint="default" w:ascii="Times New Roman" w:hAnsi="Times New Roman" w:cs="Times New Roman" w:eastAsiaTheme="minorEastAsia"/>
          <w:kern w:val="0"/>
          <w:sz w:val="24"/>
          <w:szCs w:val="24"/>
          <w:lang w:val="en-US" w:eastAsia="zh-CN" w:bidi="ar-SA"/>
        </w:rPr>
      </w:pPr>
      <w:r>
        <w:rPr>
          <w:rFonts w:hint="default" w:ascii="Times New Roman" w:hAnsi="Times New Roman" w:cs="Times New Roman" w:eastAsiaTheme="minorEastAsia"/>
          <w:kern w:val="0"/>
          <w:sz w:val="24"/>
          <w:szCs w:val="24"/>
          <w:lang w:val="en-US" w:eastAsia="zh-CN" w:bidi="ar-SA"/>
        </w:rPr>
        <w:t>3）规定了安全要求和安全信息判定的具体方法。对第4章、第5章中规定的三轮汽车整机、整机关键部位（部件）、关键性能和使用信息的安全要求，在第6章中按照顺序逐一给出了这些要求判定的具体方法。限于标准正文所限，在附录B</w:t>
      </w:r>
      <w:r>
        <w:rPr>
          <w:rFonts w:hint="default" w:ascii="Times New Roman" w:hAnsi="Times New Roman" w:cs="Times New Roman" w:eastAsiaTheme="minorEastAsia"/>
          <w:kern w:val="0"/>
          <w:sz w:val="24"/>
          <w:szCs w:val="24"/>
          <w:lang w:val="en-US" w:eastAsia="zh-CN" w:bidi="ar-SA"/>
        </w:rPr>
        <w:t>中详细给出气压制动系统</w:t>
      </w:r>
      <w:r>
        <w:rPr>
          <w:rFonts w:hint="default" w:ascii="Times New Roman" w:hAnsi="Times New Roman" w:cs="Times New Roman" w:eastAsiaTheme="minorEastAsia"/>
          <w:kern w:val="0"/>
          <w:sz w:val="24"/>
          <w:szCs w:val="24"/>
          <w:lang w:val="en-US" w:eastAsia="zh-CN" w:bidi="ar-SA"/>
        </w:rPr>
        <w:t>制动气室响应时间的具体测量方法。</w:t>
      </w:r>
    </w:p>
    <w:p>
      <w:pPr>
        <w:spacing w:line="360" w:lineRule="auto"/>
        <w:ind w:firstLine="480"/>
        <w:rPr>
          <w:rFonts w:hint="default" w:ascii="Times New Roman" w:hAnsi="Times New Roman" w:cs="Times New Roman" w:eastAsiaTheme="minorEastAsia"/>
          <w:kern w:val="0"/>
          <w:sz w:val="24"/>
          <w:szCs w:val="24"/>
          <w:lang w:val="en-US" w:eastAsia="zh-CN" w:bidi="ar-SA"/>
        </w:rPr>
      </w:pPr>
      <w:r>
        <w:rPr>
          <w:rFonts w:hint="default" w:ascii="Times New Roman" w:hAnsi="Times New Roman" w:cs="Times New Roman" w:eastAsiaTheme="minorEastAsia"/>
          <w:kern w:val="0"/>
          <w:sz w:val="24"/>
          <w:szCs w:val="24"/>
          <w:lang w:val="en-US" w:eastAsia="zh-CN" w:bidi="ar-SA"/>
        </w:rPr>
        <w:t>3、主要技术要求的依据分析</w:t>
      </w:r>
    </w:p>
    <w:p>
      <w:pPr>
        <w:spacing w:line="360" w:lineRule="auto"/>
        <w:ind w:firstLine="480"/>
        <w:rPr>
          <w:rFonts w:hint="default" w:ascii="Times New Roman" w:hAnsi="Times New Roman" w:cs="Times New Roman" w:eastAsiaTheme="minorEastAsia"/>
          <w:kern w:val="0"/>
          <w:sz w:val="24"/>
          <w:szCs w:val="24"/>
          <w:lang w:val="en-US" w:eastAsia="zh-CN" w:bidi="ar-SA"/>
        </w:rPr>
      </w:pPr>
      <w:r>
        <w:rPr>
          <w:rFonts w:hint="default" w:ascii="Times New Roman" w:hAnsi="Times New Roman" w:cs="Times New Roman" w:eastAsiaTheme="minorEastAsia"/>
          <w:kern w:val="0"/>
          <w:sz w:val="24"/>
          <w:szCs w:val="24"/>
          <w:lang w:val="en-US" w:eastAsia="zh-CN" w:bidi="ar-SA"/>
        </w:rPr>
        <w:t>（1）规定了运送液体的罐式车的结构要求。</w:t>
      </w:r>
      <w:r>
        <w:rPr>
          <w:rFonts w:hint="default" w:ascii="Times New Roman" w:hAnsi="Times New Roman" w:cs="Times New Roman" w:eastAsiaTheme="minorEastAsia"/>
          <w:kern w:val="0"/>
          <w:sz w:val="24"/>
          <w:szCs w:val="24"/>
          <w:lang w:val="en-US" w:eastAsia="zh-CN" w:bidi="ar-SA"/>
        </w:rPr>
        <w:t>为最大限度减少货物在运输过程中的晃动和摆动，规定了罐式三轮汽车罐体内部应装备防波板。</w:t>
      </w:r>
      <w:r>
        <w:rPr>
          <w:rFonts w:hint="default" w:ascii="Times New Roman" w:hAnsi="Times New Roman" w:cs="Times New Roman" w:eastAsiaTheme="minorEastAsia"/>
          <w:kern w:val="0"/>
          <w:sz w:val="24"/>
          <w:szCs w:val="24"/>
          <w:lang w:val="en-US" w:eastAsia="zh-CN" w:bidi="ar-SA"/>
        </w:rPr>
        <w:t>为确保罐体能装下规定载质量的液体，并确保罐体的整体强度规定了罐体的总容量和罐体体积要求。即罐体总容量应满足公式（</w:t>
      </w:r>
      <w:r>
        <w:rPr>
          <w:rFonts w:hint="default" w:ascii="Times New Roman" w:hAnsi="Times New Roman" w:cs="Times New Roman" w:eastAsiaTheme="minorEastAsia"/>
          <w:kern w:val="0"/>
          <w:sz w:val="24"/>
          <w:szCs w:val="24"/>
          <w:lang w:val="en-US" w:eastAsia="zh-CN" w:bidi="ar-SA"/>
        </w:rPr>
        <w:t>1）的要求，且对运送液体的罐式三轮汽车罐体体积应满足公式（</w:t>
      </w:r>
      <w:r>
        <w:rPr>
          <w:rFonts w:hint="default" w:ascii="Times New Roman" w:hAnsi="Times New Roman" w:cs="Times New Roman" w:eastAsiaTheme="minorEastAsia"/>
          <w:kern w:val="0"/>
          <w:sz w:val="24"/>
          <w:szCs w:val="24"/>
          <w:lang w:val="en-US" w:eastAsia="zh-CN" w:bidi="ar-SA"/>
        </w:rPr>
        <w:t>2）的要求。</w:t>
      </w:r>
    </w:p>
    <w:p>
      <w:pPr>
        <w:pStyle w:val="6"/>
        <w:spacing w:line="360" w:lineRule="auto"/>
        <w:jc w:val="center"/>
        <w:rPr>
          <w:rFonts w:hint="default" w:ascii="Times New Roman" w:hAnsi="Times New Roman" w:cs="Times New Roman"/>
          <w:sz w:val="24"/>
        </w:rPr>
      </w:pPr>
      <w:r>
        <w:rPr>
          <w:rFonts w:hint="default" w:ascii="Times New Roman" w:hAnsi="Times New Roman" w:cs="Times New Roman"/>
          <w:sz w:val="24"/>
        </w:rPr>
        <w:t xml:space="preserve">                      </w:t>
      </w:r>
      <m:oMath>
        <m:r>
          <m:rPr>
            <m:sty m:val="p"/>
          </m:rPr>
          <w:rPr>
            <w:rFonts w:hint="default" w:ascii="Cambria Math" w:hAnsi="Cambria Math" w:cs="Times New Roman"/>
            <w:sz w:val="24"/>
          </w:rPr>
          <m:t>1.0≤</m:t>
        </m:r>
        <m:f>
          <m:fPr>
            <m:ctrlPr>
              <w:rPr>
                <w:rFonts w:hint="default" w:ascii="Cambria Math" w:hAnsi="Cambria Math" w:cs="Times New Roman"/>
                <w:sz w:val="24"/>
              </w:rPr>
            </m:ctrlPr>
          </m:fPr>
          <m:num>
            <m:sSub>
              <m:sSubPr>
                <m:ctrlPr>
                  <w:rPr>
                    <w:rFonts w:hint="default" w:ascii="Cambria Math" w:hAnsi="Cambria Math" w:cs="Times New Roman"/>
                    <w:i/>
                    <w:sz w:val="24"/>
                  </w:rPr>
                </m:ctrlPr>
              </m:sSubPr>
              <m:e>
                <m:r>
                  <m:rPr/>
                  <w:rPr>
                    <w:rFonts w:hint="default" w:ascii="Cambria Math" w:hAnsi="Cambria Math" w:cs="Times New Roman"/>
                    <w:sz w:val="24"/>
                  </w:rPr>
                  <m:t>V</m:t>
                </m:r>
                <m:ctrlPr>
                  <w:rPr>
                    <w:rFonts w:hint="default" w:ascii="Cambria Math" w:hAnsi="Cambria Math" w:cs="Times New Roman"/>
                    <w:i/>
                    <w:sz w:val="24"/>
                  </w:rPr>
                </m:ctrlPr>
              </m:e>
              <m:sub>
                <m:r>
                  <m:rPr/>
                  <w:rPr>
                    <w:rFonts w:hint="default" w:ascii="Cambria Math" w:hAnsi="Cambria Math" w:cs="Times New Roman"/>
                    <w:sz w:val="24"/>
                  </w:rPr>
                  <m:t>z</m:t>
                </m:r>
                <m:ctrlPr>
                  <w:rPr>
                    <w:rFonts w:hint="default" w:ascii="Cambria Math" w:hAnsi="Cambria Math" w:cs="Times New Roman"/>
                    <w:i/>
                    <w:sz w:val="24"/>
                  </w:rPr>
                </m:ctrlPr>
              </m:sub>
            </m:sSub>
            <m:ctrlPr>
              <w:rPr>
                <w:rFonts w:hint="default" w:ascii="Cambria Math" w:hAnsi="Cambria Math" w:cs="Times New Roman"/>
                <w:sz w:val="24"/>
              </w:rPr>
            </m:ctrlPr>
          </m:num>
          <m:den>
            <m:r>
              <m:rPr>
                <m:sty m:val="p"/>
              </m:rPr>
              <w:rPr>
                <w:rFonts w:hint="default" w:ascii="Cambria Math" w:hAnsi="Cambria Math" w:cs="Times New Roman"/>
                <w:sz w:val="24"/>
              </w:rPr>
              <m:t>m/ρ</m:t>
            </m:r>
            <m:ctrlPr>
              <w:rPr>
                <w:rFonts w:hint="default" w:ascii="Cambria Math" w:hAnsi="Cambria Math" w:cs="Times New Roman"/>
                <w:sz w:val="24"/>
              </w:rPr>
            </m:ctrlPr>
          </m:den>
        </m:f>
        <m:r>
          <m:rPr>
            <m:sty m:val="p"/>
          </m:rPr>
          <w:rPr>
            <w:rFonts w:hint="default" w:ascii="Cambria Math" w:hAnsi="Cambria Math" w:cs="Times New Roman"/>
            <w:sz w:val="24"/>
          </w:rPr>
          <m:t>≤</m:t>
        </m:r>
      </m:oMath>
      <w:r>
        <w:rPr>
          <w:rFonts w:hint="default" w:ascii="Times New Roman" w:hAnsi="Times New Roman" w:cs="Times New Roman"/>
          <w:sz w:val="24"/>
        </w:rPr>
        <w:t>1.05   …………………………………（1）</w:t>
      </w:r>
    </w:p>
    <w:p>
      <w:pPr>
        <w:pStyle w:val="6"/>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式中：</w:t>
      </w:r>
    </w:p>
    <w:p>
      <w:pPr>
        <w:pStyle w:val="6"/>
        <w:spacing w:line="360" w:lineRule="auto"/>
        <w:rPr>
          <w:rFonts w:hint="default" w:ascii="Times New Roman" w:hAnsi="Times New Roman" w:cs="Times New Roman" w:eastAsiaTheme="minorEastAsia"/>
          <w:sz w:val="24"/>
        </w:rPr>
      </w:pPr>
      <w:r>
        <w:rPr>
          <w:rFonts w:hint="default" w:ascii="Times New Roman" w:hAnsi="Times New Roman" w:cs="Times New Roman" w:eastAsiaTheme="minorEastAsia"/>
          <w:sz w:val="24"/>
        </w:rPr>
        <w:t xml:space="preserve">     </w:t>
      </w:r>
      <m:oMath>
        <m:sSub>
          <m:sSubPr>
            <m:ctrlPr>
              <w:rPr>
                <w:rFonts w:hint="default" w:ascii="Cambria Math" w:hAnsi="Cambria Math" w:cs="Times New Roman" w:eastAsiaTheme="minorEastAsia"/>
                <w:i/>
                <w:sz w:val="24"/>
              </w:rPr>
            </m:ctrlPr>
          </m:sSubPr>
          <m:e>
            <m:r>
              <m:rPr/>
              <w:rPr>
                <w:rFonts w:hint="default" w:ascii="Cambria Math" w:hAnsi="Cambria Math" w:cs="Times New Roman" w:eastAsiaTheme="minorEastAsia"/>
                <w:sz w:val="24"/>
              </w:rPr>
              <m:t>V</m:t>
            </m:r>
            <m:ctrlPr>
              <w:rPr>
                <w:rFonts w:hint="default" w:ascii="Cambria Math" w:hAnsi="Cambria Math" w:cs="Times New Roman" w:eastAsiaTheme="minorEastAsia"/>
                <w:i/>
                <w:sz w:val="24"/>
              </w:rPr>
            </m:ctrlPr>
          </m:e>
          <m:sub>
            <m:r>
              <m:rPr/>
              <w:rPr>
                <w:rFonts w:hint="default" w:ascii="Cambria Math" w:hAnsi="Cambria Math" w:cs="Times New Roman" w:eastAsiaTheme="minorEastAsia"/>
                <w:sz w:val="24"/>
              </w:rPr>
              <m:t>z</m:t>
            </m:r>
            <m:ctrlPr>
              <w:rPr>
                <w:rFonts w:hint="default" w:ascii="Cambria Math" w:hAnsi="Cambria Math" w:cs="Times New Roman" w:eastAsiaTheme="minorEastAsia"/>
                <w:i/>
                <w:sz w:val="24"/>
              </w:rPr>
            </m:ctrlPr>
          </m:sub>
        </m:sSub>
      </m:oMath>
      <w:r>
        <w:rPr>
          <w:rFonts w:hint="default" w:ascii="Times New Roman" w:hAnsi="Times New Roman" w:cs="Times New Roman" w:eastAsiaTheme="minorEastAsia"/>
          <w:sz w:val="24"/>
        </w:rPr>
        <w:t>——罐体总容量，单位为立方米（m</w:t>
      </w:r>
      <w:r>
        <w:rPr>
          <w:rFonts w:hint="default" w:ascii="Times New Roman" w:hAnsi="Times New Roman" w:cs="Times New Roman" w:eastAsiaTheme="minorEastAsia"/>
          <w:sz w:val="24"/>
          <w:vertAlign w:val="superscript"/>
        </w:rPr>
        <w:t>3</w:t>
      </w:r>
      <w:r>
        <w:rPr>
          <w:rFonts w:hint="default" w:ascii="Times New Roman" w:hAnsi="Times New Roman" w:cs="Times New Roman" w:eastAsiaTheme="minorEastAsia"/>
          <w:sz w:val="24"/>
        </w:rPr>
        <w:t>） ；</w:t>
      </w:r>
    </w:p>
    <w:p>
      <w:pPr>
        <w:pStyle w:val="6"/>
        <w:spacing w:line="360" w:lineRule="auto"/>
        <w:rPr>
          <w:rFonts w:hint="default" w:ascii="Times New Roman" w:hAnsi="Times New Roman" w:cs="Times New Roman" w:eastAsiaTheme="minorEastAsia"/>
          <w:sz w:val="24"/>
        </w:rPr>
      </w:pPr>
      <w:r>
        <w:rPr>
          <w:rFonts w:hint="default" w:ascii="Times New Roman" w:hAnsi="Times New Roman" w:cs="Times New Roman" w:eastAsiaTheme="minorEastAsia"/>
          <w:sz w:val="24"/>
        </w:rPr>
        <w:t xml:space="preserve">     m——载质量，单位为千克（kg）；</w:t>
      </w:r>
    </w:p>
    <w:p>
      <w:pPr>
        <w:pStyle w:val="6"/>
        <w:spacing w:line="360" w:lineRule="auto"/>
        <w:rPr>
          <w:rFonts w:hint="default" w:ascii="Times New Roman" w:hAnsi="Times New Roman" w:cs="Times New Roman" w:eastAsiaTheme="minorEastAsia"/>
          <w:sz w:val="24"/>
        </w:rPr>
      </w:pPr>
      <w:r>
        <w:rPr>
          <w:rFonts w:hint="default" w:ascii="Times New Roman" w:hAnsi="Times New Roman" w:cs="Times New Roman" w:eastAsiaTheme="minorEastAsia"/>
          <w:sz w:val="24"/>
        </w:rPr>
        <w:t xml:space="preserve">     </w:t>
      </w:r>
      <m:oMath>
        <m:r>
          <m:rPr>
            <m:sty m:val="p"/>
          </m:rPr>
          <w:rPr>
            <w:rFonts w:hint="default" w:ascii="Cambria Math" w:hAnsi="Cambria Math" w:cs="Times New Roman" w:eastAsiaTheme="minorEastAsia"/>
            <w:sz w:val="24"/>
          </w:rPr>
          <m:t>ρ</m:t>
        </m:r>
      </m:oMath>
      <w:r>
        <w:rPr>
          <w:rFonts w:hint="default" w:ascii="Times New Roman" w:hAnsi="Times New Roman" w:cs="Times New Roman" w:eastAsiaTheme="minorEastAsia"/>
          <w:sz w:val="24"/>
        </w:rPr>
        <w:t>——介质密度，单位为（kg/ m</w:t>
      </w:r>
      <w:r>
        <w:rPr>
          <w:rFonts w:hint="default" w:ascii="Times New Roman" w:hAnsi="Times New Roman" w:cs="Times New Roman" w:eastAsiaTheme="minorEastAsia"/>
          <w:sz w:val="24"/>
          <w:vertAlign w:val="superscript"/>
        </w:rPr>
        <w:t>3</w:t>
      </w:r>
      <w:r>
        <w:rPr>
          <w:rFonts w:hint="default" w:ascii="Times New Roman" w:hAnsi="Times New Roman" w:cs="Times New Roman" w:eastAsiaTheme="minorEastAsia"/>
          <w:sz w:val="24"/>
        </w:rPr>
        <w:t>）。</w:t>
      </w:r>
    </w:p>
    <w:p>
      <w:pPr>
        <w:pStyle w:val="6"/>
        <w:spacing w:line="360" w:lineRule="auto"/>
        <w:ind w:left="420" w:leftChars="200"/>
        <w:rPr>
          <w:rFonts w:hint="default" w:ascii="Times New Roman" w:hAnsi="Times New Roman" w:cs="Times New Roman"/>
          <w:sz w:val="24"/>
        </w:rPr>
      </w:pPr>
      <w:r>
        <w:rPr>
          <w:rFonts w:hint="default" w:ascii="Times New Roman" w:hAnsi="Times New Roman" w:eastAsia="黑体" w:cs="Times New Roman"/>
          <w:sz w:val="24"/>
        </w:rPr>
        <w:t>注1：</w:t>
      </w:r>
      <w:r>
        <w:rPr>
          <w:rFonts w:hint="default" w:ascii="Times New Roman" w:hAnsi="Times New Roman" w:cs="Times New Roman"/>
          <w:sz w:val="24"/>
        </w:rPr>
        <w:t>式中载质量不含驾驶室乘员质量。</w:t>
      </w:r>
    </w:p>
    <w:p>
      <w:pPr>
        <w:pStyle w:val="6"/>
        <w:spacing w:line="360" w:lineRule="auto"/>
        <w:ind w:left="420" w:leftChars="200"/>
        <w:rPr>
          <w:rFonts w:hint="default" w:ascii="Times New Roman" w:hAnsi="Times New Roman" w:cs="Times New Roman"/>
          <w:sz w:val="24"/>
        </w:rPr>
      </w:pPr>
      <w:r>
        <w:rPr>
          <w:rFonts w:hint="default" w:ascii="Times New Roman" w:hAnsi="Times New Roman" w:eastAsia="黑体" w:cs="Times New Roman"/>
          <w:sz w:val="24"/>
        </w:rPr>
        <w:t>注2：</w:t>
      </w:r>
      <w:r>
        <w:rPr>
          <w:rFonts w:hint="default" w:ascii="Times New Roman" w:hAnsi="Times New Roman" w:cs="Times New Roman"/>
          <w:sz w:val="24"/>
        </w:rPr>
        <w:t>同一罐体可以运输对罐体要求相同的不同名品、不同密度的介质，但应按密度最大的介质核算罐体总容量。</w:t>
      </w:r>
    </w:p>
    <w:p>
      <w:pPr>
        <w:pStyle w:val="6"/>
        <w:spacing w:line="360" w:lineRule="auto"/>
        <w:ind w:left="1890" w:leftChars="900" w:firstLine="960" w:firstLineChars="400"/>
        <w:rPr>
          <w:rFonts w:hint="default" w:ascii="Times New Roman" w:hAnsi="Times New Roman" w:cs="Times New Roman"/>
          <w:sz w:val="24"/>
        </w:rPr>
      </w:pPr>
      <m:oMath>
        <m:sSub>
          <m:sSubPr>
            <m:ctrlPr>
              <w:rPr>
                <w:rFonts w:hint="default" w:ascii="Cambria Math" w:hAnsi="Cambria Math" w:cs="Times New Roman"/>
                <w:sz w:val="24"/>
              </w:rPr>
            </m:ctrlPr>
          </m:sSubPr>
          <m:e>
            <m:r>
              <m:rPr>
                <m:sty m:val="p"/>
              </m:rPr>
              <w:rPr>
                <w:rFonts w:hint="default" w:ascii="Cambria Math" w:hAnsi="Cambria Math" w:cs="Times New Roman"/>
                <w:sz w:val="24"/>
              </w:rPr>
              <m:t>V</m:t>
            </m:r>
            <m:ctrlPr>
              <w:rPr>
                <w:rFonts w:hint="default" w:ascii="Cambria Math" w:hAnsi="Cambria Math" w:cs="Times New Roman"/>
                <w:sz w:val="24"/>
              </w:rPr>
            </m:ctrlPr>
          </m:e>
          <m:sub>
            <m:r>
              <m:rPr>
                <m:sty m:val="p"/>
              </m:rPr>
              <w:rPr>
                <w:rFonts w:hint="default" w:ascii="Cambria Math" w:hAnsi="Cambria Math" w:cs="Times New Roman"/>
                <w:sz w:val="24"/>
              </w:rPr>
              <m:t>T</m:t>
            </m:r>
            <m:ctrlPr>
              <w:rPr>
                <w:rFonts w:hint="default" w:ascii="Cambria Math" w:hAnsi="Cambria Math" w:cs="Times New Roman"/>
                <w:sz w:val="24"/>
              </w:rPr>
            </m:ctrlPr>
          </m:sub>
        </m:sSub>
      </m:oMath>
      <w:r>
        <w:rPr>
          <w:rFonts w:hint="default" w:ascii="Times New Roman" w:hAnsi="Times New Roman" w:cs="Times New Roman"/>
          <w:sz w:val="24"/>
        </w:rPr>
        <w:t>×0.85</w:t>
      </w:r>
      <m:oMath>
        <m:r>
          <m:rPr>
            <m:sty m:val="p"/>
          </m:rPr>
          <w:rPr>
            <w:rFonts w:hint="default" w:ascii="Cambria Math" w:hAnsi="Cambria Math" w:cs="Times New Roman"/>
            <w:sz w:val="24"/>
          </w:rPr>
          <m:t>≤</m:t>
        </m:r>
        <m:sSub>
          <m:sSubPr>
            <m:ctrlPr>
              <w:rPr>
                <w:rFonts w:hint="default" w:ascii="Cambria Math" w:hAnsi="Cambria Math" w:cs="Times New Roman"/>
                <w:sz w:val="24"/>
              </w:rPr>
            </m:ctrlPr>
          </m:sSubPr>
          <m:e>
            <m:r>
              <m:rPr>
                <m:sty m:val="p"/>
              </m:rPr>
              <w:rPr>
                <w:rFonts w:hint="default" w:ascii="Cambria Math" w:hAnsi="Cambria Math" w:cs="Times New Roman"/>
                <w:sz w:val="24"/>
              </w:rPr>
              <m:t>V</m:t>
            </m:r>
            <m:ctrlPr>
              <w:rPr>
                <w:rFonts w:hint="default" w:ascii="Cambria Math" w:hAnsi="Cambria Math" w:cs="Times New Roman"/>
                <w:sz w:val="24"/>
              </w:rPr>
            </m:ctrlPr>
          </m:e>
          <m:sub>
            <m:r>
              <m:rPr>
                <m:sty m:val="p"/>
              </m:rPr>
              <w:rPr>
                <w:rFonts w:hint="default" w:ascii="Cambria Math" w:hAnsi="Cambria Math" w:cs="Times New Roman"/>
                <w:sz w:val="24"/>
              </w:rPr>
              <m:t>z</m:t>
            </m:r>
            <m:ctrlPr>
              <w:rPr>
                <w:rFonts w:hint="default" w:ascii="Cambria Math" w:hAnsi="Cambria Math" w:cs="Times New Roman"/>
                <w:sz w:val="24"/>
              </w:rPr>
            </m:ctrlPr>
          </m:sub>
        </m:sSub>
      </m:oMath>
      <w:r>
        <w:rPr>
          <w:rFonts w:hint="default" w:ascii="Times New Roman" w:hAnsi="Times New Roman" w:cs="Times New Roman"/>
          <w:sz w:val="24"/>
        </w:rPr>
        <w:t xml:space="preserve">  ………………………………………（2）</w:t>
      </w:r>
    </w:p>
    <w:p>
      <w:pPr>
        <w:pStyle w:val="6"/>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式中：</w:t>
      </w:r>
    </w:p>
    <w:p>
      <w:pPr>
        <w:pStyle w:val="6"/>
        <w:spacing w:line="360" w:lineRule="auto"/>
        <w:ind w:firstLine="480" w:firstLineChars="200"/>
        <w:rPr>
          <w:rFonts w:hint="default" w:ascii="Times New Roman" w:hAnsi="Times New Roman" w:cs="Times New Roman"/>
          <w:sz w:val="24"/>
        </w:rPr>
      </w:pPr>
      <m:oMath>
        <m:sSub>
          <m:sSubPr>
            <m:ctrlPr>
              <w:rPr>
                <w:rFonts w:hint="default" w:ascii="Cambria Math" w:hAnsi="Cambria Math" w:cs="Times New Roman"/>
                <w:sz w:val="24"/>
              </w:rPr>
            </m:ctrlPr>
          </m:sSubPr>
          <m:e>
            <m:r>
              <m:rPr>
                <m:sty m:val="p"/>
              </m:rPr>
              <w:rPr>
                <w:rFonts w:hint="default" w:ascii="Cambria Math" w:hAnsi="Cambria Math" w:cs="Times New Roman"/>
                <w:sz w:val="24"/>
              </w:rPr>
              <m:t>V</m:t>
            </m:r>
            <m:ctrlPr>
              <w:rPr>
                <w:rFonts w:hint="default" w:ascii="Cambria Math" w:hAnsi="Cambria Math" w:cs="Times New Roman"/>
                <w:sz w:val="24"/>
              </w:rPr>
            </m:ctrlPr>
          </m:e>
          <m:sub>
            <m:r>
              <m:rPr>
                <m:sty m:val="p"/>
              </m:rPr>
              <w:rPr>
                <w:rFonts w:hint="default" w:ascii="Cambria Math" w:hAnsi="Cambria Math" w:cs="Times New Roman"/>
                <w:sz w:val="24"/>
              </w:rPr>
              <m:t>T</m:t>
            </m:r>
            <m:ctrlPr>
              <w:rPr>
                <w:rFonts w:hint="default" w:ascii="Cambria Math" w:hAnsi="Cambria Math" w:cs="Times New Roman"/>
                <w:sz w:val="24"/>
              </w:rPr>
            </m:ctrlPr>
          </m:sub>
        </m:sSub>
      </m:oMath>
      <w:r>
        <w:rPr>
          <w:rFonts w:hint="default" w:ascii="Times New Roman" w:hAnsi="Times New Roman" w:cs="Times New Roman"/>
          <w:sz w:val="24"/>
        </w:rPr>
        <w:t>——罐体体积（按外形尺寸计算），单位为立方米（m</w:t>
      </w:r>
      <w:r>
        <w:rPr>
          <w:rFonts w:hint="default" w:ascii="Times New Roman" w:hAnsi="Times New Roman" w:cs="Times New Roman"/>
          <w:sz w:val="24"/>
          <w:vertAlign w:val="superscript"/>
        </w:rPr>
        <w:t>3</w:t>
      </w:r>
      <w:r>
        <w:rPr>
          <w:rFonts w:hint="default" w:ascii="Times New Roman" w:hAnsi="Times New Roman" w:cs="Times New Roman"/>
          <w:sz w:val="24"/>
        </w:rPr>
        <w:t>）。</w:t>
      </w:r>
    </w:p>
    <w:p>
      <w:pPr>
        <w:spacing w:line="360" w:lineRule="auto"/>
        <w:ind w:firstLine="480" w:firstLineChars="200"/>
        <w:rPr>
          <w:sz w:val="24"/>
          <w:szCs w:val="24"/>
        </w:rPr>
      </w:pPr>
      <w:r>
        <w:rPr>
          <w:rFonts w:hint="default" w:ascii="Times New Roman" w:hAnsi="Times New Roman" w:cs="Times New Roman"/>
          <w:bCs/>
          <w:sz w:val="24"/>
          <w:szCs w:val="24"/>
        </w:rPr>
        <w:t>（2）规定了座椅的尺寸要求及与其对应的验证判定方法。由于座椅是直接关系人机工效学对三轮汽车使用安全性产生影响的部件，因此，在本次修订时，规定主座椅最大宽度不应小于400 mm，最大深度不应小于400 mm。方向盘式三轮汽车的副驾驶坐垫宽度不应小于 350 mm，座椅深度不应小于300 mm，且座椅不应增加三轮汽车的外廓尺寸。同时，给出了座椅尺寸测量的具体方法，即</w:t>
      </w:r>
      <w:r>
        <w:rPr>
          <w:rFonts w:hint="default" w:ascii="Times New Roman" w:hAnsi="Times New Roman" w:cs="Times New Roman"/>
          <w:sz w:val="24"/>
          <w:szCs w:val="24"/>
        </w:rPr>
        <w:t>按设计要求沿水平（纵向）方向调整座椅到滑轨最前端及最后端，并测量两者之间的水平距离，取测量值的二分之一作为座椅调整量的实测值。座椅（位）调整过程中判断是否有挤压危险。座椅坐垫未被压陷时，在坐垫前端以后200 mm处坐垫上表面测量宽度数值作为座椅宽度。座椅深度应在由制造厂设定的座椅前后位置和靠背角状态，座椅座垫和靠背均未被压陷时，在座垫宽度方向中间位置、沿座垫平面测得的座垫最前端至座垫靠背垂直投影面的距离。测量示意图见图1。</w:t>
      </w:r>
    </w:p>
    <w:p>
      <w:pPr>
        <w:spacing w:line="360" w:lineRule="exact"/>
        <w:ind w:firstLine="420" w:firstLineChars="200"/>
        <w:rPr>
          <w:szCs w:val="21"/>
        </w:rPr>
      </w:pPr>
    </w:p>
    <w:p>
      <w:pPr>
        <w:jc w:val="center"/>
        <w:rPr>
          <w:szCs w:val="21"/>
        </w:rPr>
      </w:pPr>
      <w:r>
        <w:drawing>
          <wp:inline distT="0" distB="0" distL="0" distR="0">
            <wp:extent cx="1784985" cy="1701165"/>
            <wp:effectExtent l="0" t="0" r="5715" b="1333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785758" cy="1701800"/>
                    </a:xfrm>
                    <a:prstGeom prst="rect">
                      <a:avLst/>
                    </a:prstGeom>
                    <a:noFill/>
                    <a:ln>
                      <a:noFill/>
                    </a:ln>
                  </pic:spPr>
                </pic:pic>
              </a:graphicData>
            </a:graphic>
          </wp:inline>
        </w:drawing>
      </w:r>
    </w:p>
    <w:p>
      <w:pPr>
        <w:adjustRightInd w:val="0"/>
        <w:snapToGrid w:val="0"/>
        <w:spacing w:line="360" w:lineRule="auto"/>
        <w:jc w:val="center"/>
        <w:rPr>
          <w:rFonts w:ascii="宋体" w:hAnsi="宋体"/>
          <w:bCs/>
          <w:color w:val="FF0000"/>
          <w:sz w:val="24"/>
        </w:rPr>
      </w:pPr>
      <w:r>
        <w:rPr>
          <w:rFonts w:hint="eastAsia" w:ascii="黑体" w:hAnsi="黑体" w:eastAsia="黑体" w:cs="黑体"/>
        </w:rPr>
        <w:t>图1 座椅</w:t>
      </w:r>
      <w:r>
        <w:rPr>
          <w:rFonts w:hint="eastAsia" w:ascii="黑体" w:hAnsi="黑体" w:eastAsia="黑体" w:cs="黑体"/>
          <w:szCs w:val="21"/>
        </w:rPr>
        <w:t>宽度和座椅深度测量示意图</w:t>
      </w:r>
    </w:p>
    <w:p>
      <w:pPr>
        <w:adjustRightInd w:val="0"/>
        <w:snapToGrid w:val="0"/>
        <w:spacing w:line="360" w:lineRule="auto"/>
        <w:rPr>
          <w:rFonts w:ascii="宋体" w:hAnsi="宋体"/>
          <w:bCs/>
          <w:color w:val="FF0000"/>
          <w:sz w:val="24"/>
        </w:rPr>
      </w:pPr>
    </w:p>
    <w:p>
      <w:pPr>
        <w:adjustRightInd w:val="0"/>
        <w:snapToGrid w:val="0"/>
        <w:spacing w:line="360" w:lineRule="auto"/>
        <w:ind w:firstLine="480" w:firstLineChars="200"/>
        <w:rPr>
          <w:rFonts w:hint="default" w:ascii="Times New Roman" w:hAnsi="Times New Roman" w:cs="Times New Roman"/>
          <w:bCs/>
          <w:sz w:val="24"/>
          <w:szCs w:val="24"/>
        </w:rPr>
      </w:pPr>
      <w:r>
        <w:rPr>
          <w:rFonts w:hint="default" w:ascii="Times New Roman" w:hAnsi="Times New Roman" w:cs="Times New Roman"/>
          <w:bCs/>
          <w:sz w:val="24"/>
        </w:rPr>
        <w:t>（3）</w:t>
      </w:r>
      <w:r>
        <w:rPr>
          <w:rFonts w:hint="default" w:ascii="Times New Roman" w:hAnsi="Times New Roman" w:cs="Times New Roman"/>
          <w:bCs/>
          <w:sz w:val="24"/>
          <w:szCs w:val="24"/>
        </w:rPr>
        <w:t>规定了操纵机构的操纵间隙要求及与其对应的验证判定方法。操纵机构的间隙控制不合理，会造成误操作。为此，本次整合修订标准时，结合农业机械对操纵机构的间隙要求，规定了三轮汽车的操纵间隙要求，操纵机构运行区域内不应有剪切和挤压处，操纵力大于等于50 N的操纵机构（不包括转向盘或方向把）周围应有不小于50 mm的间隙，操纵力小于50 N的操纵机构周围应有不小于25 mm的间隙，按钮/开关类操纵机构只要不存在误操作相邻操纵机构的危险，则无上述间隙要求。同时，规定了测量操纵机构间隙的方法，即用目测检查或常规线性尺寸量具、拉力计等设备检查操纵机构的其他要求是否合格。测量示意图见图2。</w:t>
      </w:r>
    </w:p>
    <w:p>
      <w:pPr>
        <w:spacing w:line="360" w:lineRule="exact"/>
        <w:rPr>
          <w:szCs w:val="21"/>
        </w:rPr>
      </w:pPr>
    </w:p>
    <w:p>
      <w:pPr>
        <w:pStyle w:val="51"/>
        <w:rPr>
          <w:szCs w:val="24"/>
        </w:rPr>
      </w:pPr>
      <w:r>
        <w:drawing>
          <wp:inline distT="0" distB="0" distL="0" distR="0">
            <wp:extent cx="2774950" cy="1693545"/>
            <wp:effectExtent l="0" t="0" r="6350" b="190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7">
                      <a:extLst>
                        <a:ext uri="{28A0092B-C50C-407E-A947-70E740481C1C}">
                          <a14:useLocalDpi xmlns:a14="http://schemas.microsoft.com/office/drawing/2010/main" val="0"/>
                        </a:ext>
                      </a:extLst>
                    </a:blip>
                    <a:srcRect l="3410"/>
                    <a:stretch>
                      <a:fillRect/>
                    </a:stretch>
                  </pic:blipFill>
                  <pic:spPr>
                    <a:xfrm>
                      <a:off x="0" y="0"/>
                      <a:ext cx="2774950" cy="1693545"/>
                    </a:xfrm>
                    <a:prstGeom prst="rect">
                      <a:avLst/>
                    </a:prstGeom>
                    <a:noFill/>
                    <a:ln>
                      <a:noFill/>
                    </a:ln>
                  </pic:spPr>
                </pic:pic>
              </a:graphicData>
            </a:graphic>
          </wp:inline>
        </w:drawing>
      </w:r>
    </w:p>
    <w:p>
      <w:pPr>
        <w:pStyle w:val="4"/>
        <w:spacing w:before="120" w:after="120"/>
        <w:jc w:val="center"/>
      </w:pPr>
      <w:r>
        <w:rPr>
          <w:rFonts w:hint="eastAsia"/>
        </w:rPr>
        <w:t>图2</w:t>
      </w:r>
      <w:r>
        <w:t xml:space="preserve">  </w:t>
      </w:r>
      <w:r>
        <w:rPr>
          <w:rFonts w:hint="eastAsia"/>
        </w:rPr>
        <w:t>手动操纵机构的周围间隙</w:t>
      </w:r>
    </w:p>
    <w:p>
      <w:pPr>
        <w:pStyle w:val="22"/>
        <w:spacing w:line="360" w:lineRule="auto"/>
        <w:ind w:firstLine="480"/>
        <w:rPr>
          <w:rFonts w:hint="default" w:ascii="Times New Roman" w:hAnsi="Times New Roman" w:cs="Times New Roman"/>
          <w:sz w:val="24"/>
        </w:rPr>
      </w:pPr>
      <w:r>
        <w:rPr>
          <w:rFonts w:hint="default" w:ascii="Times New Roman" w:hAnsi="Times New Roman" w:cs="Times New Roman"/>
          <w:sz w:val="24"/>
        </w:rPr>
        <w:t>（</w:t>
      </w:r>
      <w:r>
        <w:rPr>
          <w:rFonts w:hint="default" w:ascii="Times New Roman" w:hAnsi="Times New Roman" w:cs="Times New Roman"/>
          <w:sz w:val="24"/>
          <w:lang w:val="en-US" w:eastAsia="zh-CN"/>
        </w:rPr>
        <w:t>4</w:t>
      </w:r>
      <w:r>
        <w:rPr>
          <w:rFonts w:hint="default" w:ascii="Times New Roman" w:hAnsi="Times New Roman" w:cs="Times New Roman"/>
          <w:sz w:val="24"/>
        </w:rPr>
        <w:t>）规定了整车标记的要求。整车标记是对车辆实施唯一性管理的重要依据，也是车辆使用过程管理的重要抓手，因此，在本标准中也明确规定了三轮汽车的商标、标牌、车辆识别代号（VIN）、发动机型号和出厂编号、号牌板（架）和后号牌板（架）安装孔的要求。具体如下：</w:t>
      </w:r>
    </w:p>
    <w:p>
      <w:pPr>
        <w:pStyle w:val="6"/>
        <w:spacing w:line="360" w:lineRule="auto"/>
        <w:ind w:firstLine="480" w:firstLineChars="200"/>
        <w:rPr>
          <w:rFonts w:hint="default" w:ascii="Times New Roman" w:hAnsi="Times New Roman" w:cs="Times New Roman" w:eastAsiaTheme="minorEastAsia"/>
          <w:sz w:val="24"/>
        </w:rPr>
      </w:pPr>
      <w:r>
        <w:rPr>
          <w:rFonts w:hint="default" w:ascii="Times New Roman" w:hAnsi="Times New Roman" w:cs="Times New Roman" w:eastAsiaTheme="minorEastAsia"/>
          <w:sz w:val="24"/>
        </w:rPr>
        <w:t>1）三轮汽车在车身前部外表面的易见部位上应至少装置一个能永久保持的商标或厂标。</w:t>
      </w:r>
    </w:p>
    <w:p>
      <w:pPr>
        <w:pStyle w:val="6"/>
        <w:spacing w:line="360" w:lineRule="auto"/>
        <w:ind w:firstLine="480" w:firstLineChars="200"/>
        <w:rPr>
          <w:rFonts w:hint="default" w:ascii="Times New Roman" w:hAnsi="Times New Roman" w:cs="Times New Roman" w:eastAsiaTheme="minorEastAsia"/>
          <w:sz w:val="24"/>
        </w:rPr>
      </w:pPr>
      <w:r>
        <w:rPr>
          <w:rFonts w:hint="default" w:ascii="Times New Roman" w:hAnsi="Times New Roman" w:cs="Times New Roman" w:eastAsiaTheme="minorEastAsia"/>
          <w:sz w:val="24"/>
        </w:rPr>
        <w:t>2）三轮汽车应至少装置一个能永久保持的产品标牌。产品标牌应固定在一个明显的、不受更换部件影响的位置，其具体位置应在产品使用说明书中指明。产品标牌上标明品牌、整车型号、制造年月、生产厂名及制造国、车辆识别代号、发动机型号、发动机最大净功率/转速、最大设计总质量、整备质量。产品标牌上标明的内容应规范、清晰耐久且易于识别，项目名称均应有中文名称。</w:t>
      </w:r>
    </w:p>
    <w:p>
      <w:pPr>
        <w:pStyle w:val="26"/>
        <w:numPr>
          <w:ilvl w:val="0"/>
          <w:numId w:val="0"/>
        </w:numPr>
        <w:spacing w:before="0" w:beforeLines="0" w:after="0" w:afterLines="0"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3）三轮汽车应具有车辆识别代号（VIN），其内容和构成应符合 GB 16735的规定；应至少有一个车辆识别代号打刻在车架上，打刻位置应尽量位于前部右侧，如受结构限制也可打刻在其它部位。打刻的车辆识别代号应易见且易于拓印，其字母和数字的字高不应小于7.0 mm，深度不应小于0.3 mm。车辆识别代号（VIN）打刻的具体位置应在产品使用说明书中指明，一经打刻不允许更改、变动。同一辆车上标识的所有车辆识别代号内容应相同。</w:t>
      </w:r>
    </w:p>
    <w:p>
      <w:pPr>
        <w:pStyle w:val="26"/>
        <w:numPr>
          <w:ilvl w:val="0"/>
          <w:numId w:val="0"/>
        </w:numPr>
        <w:spacing w:before="0" w:beforeLines="0" w:after="0" w:afterLines="0"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4）三轮汽车发动机型号和出厂编号应打刻（或铸出）在气缸体上且应能永久保持，在出厂编号的两端应打刻起止标记（没有打刻起止标记的空间可不打刻）；若打刻（或铸出）的发动机型号和出厂编号不易见，则应在发动机易见部位增加能永久保持的发动机型号和出厂编号的标识。发动机出厂编号的具体位置应在产品使用说明书中指明。</w:t>
      </w:r>
    </w:p>
    <w:p>
      <w:pPr>
        <w:pStyle w:val="22"/>
        <w:spacing w:line="360" w:lineRule="auto"/>
        <w:ind w:firstLine="480"/>
        <w:rPr>
          <w:rFonts w:hint="default" w:ascii="Times New Roman" w:hAnsi="Times New Roman" w:cs="Times New Roman" w:eastAsiaTheme="minorEastAsia"/>
          <w:bCs/>
          <w:color w:val="FF0000"/>
          <w:sz w:val="24"/>
          <w:szCs w:val="24"/>
        </w:rPr>
      </w:pPr>
      <w:r>
        <w:rPr>
          <w:rFonts w:hint="default" w:ascii="Times New Roman" w:hAnsi="Times New Roman" w:cs="Times New Roman" w:eastAsiaTheme="minorEastAsia"/>
          <w:sz w:val="24"/>
          <w:szCs w:val="24"/>
        </w:rPr>
        <w:t>5）三轮汽车应设置号牌板（架），</w:t>
      </w:r>
      <w:r>
        <w:rPr>
          <w:rFonts w:hint="default" w:ascii="Times New Roman" w:hAnsi="Times New Roman" w:cs="Times New Roman" w:eastAsiaTheme="minorEastAsia"/>
          <w:color w:val="000000"/>
          <w:sz w:val="24"/>
          <w:szCs w:val="24"/>
        </w:rPr>
        <w:t>后号牌板（架）上应设有4个号牌安装孔，前号牌板</w:t>
      </w:r>
      <w:r>
        <w:rPr>
          <w:rFonts w:hint="default" w:ascii="Times New Roman" w:hAnsi="Times New Roman" w:cs="Times New Roman" w:eastAsiaTheme="minorEastAsia"/>
          <w:sz w:val="24"/>
          <w:szCs w:val="24"/>
        </w:rPr>
        <w:t>（架）</w:t>
      </w:r>
      <w:r>
        <w:rPr>
          <w:rFonts w:hint="default" w:ascii="Times New Roman" w:hAnsi="Times New Roman" w:cs="Times New Roman" w:eastAsiaTheme="minorEastAsia"/>
          <w:color w:val="000000"/>
          <w:sz w:val="24"/>
          <w:szCs w:val="24"/>
        </w:rPr>
        <w:t>应设有2个号牌安装孔</w:t>
      </w:r>
      <w:r>
        <w:rPr>
          <w:rFonts w:hint="default" w:ascii="Times New Roman" w:hAnsi="Times New Roman" w:cs="Times New Roman" w:eastAsiaTheme="minorEastAsia"/>
          <w:sz w:val="24"/>
          <w:szCs w:val="24"/>
        </w:rPr>
        <w:t>。</w:t>
      </w:r>
      <w:r>
        <w:rPr>
          <w:rFonts w:hint="default" w:ascii="Times New Roman" w:hAnsi="Times New Roman" w:cs="Times New Roman" w:eastAsiaTheme="minorEastAsia"/>
          <w:color w:val="000000"/>
          <w:sz w:val="24"/>
          <w:szCs w:val="24"/>
        </w:rPr>
        <w:t>前号牌板</w:t>
      </w:r>
      <w:r>
        <w:rPr>
          <w:rFonts w:hint="default" w:ascii="Times New Roman" w:hAnsi="Times New Roman" w:cs="Times New Roman" w:eastAsiaTheme="minorEastAsia"/>
          <w:sz w:val="24"/>
          <w:szCs w:val="24"/>
        </w:rPr>
        <w:t>（架）</w:t>
      </w:r>
      <w:r>
        <w:rPr>
          <w:rFonts w:hint="default" w:ascii="Times New Roman" w:hAnsi="Times New Roman" w:cs="Times New Roman" w:eastAsiaTheme="minorEastAsia"/>
          <w:color w:val="000000"/>
          <w:sz w:val="24"/>
          <w:szCs w:val="24"/>
        </w:rPr>
        <w:t>应设于前面的中部或右侧（按三轮汽车前进方向），后号牌板</w:t>
      </w:r>
      <w:r>
        <w:rPr>
          <w:rFonts w:hint="default" w:ascii="Times New Roman" w:hAnsi="Times New Roman" w:cs="Times New Roman" w:eastAsiaTheme="minorEastAsia"/>
          <w:sz w:val="24"/>
          <w:szCs w:val="24"/>
        </w:rPr>
        <w:t>（架）</w:t>
      </w:r>
      <w:r>
        <w:rPr>
          <w:rFonts w:hint="default" w:ascii="Times New Roman" w:hAnsi="Times New Roman" w:cs="Times New Roman" w:eastAsiaTheme="minorEastAsia"/>
          <w:color w:val="000000"/>
          <w:sz w:val="24"/>
          <w:szCs w:val="24"/>
        </w:rPr>
        <w:t>应设于后面的中部或左侧。</w:t>
      </w:r>
      <w:r>
        <w:rPr>
          <w:rFonts w:hint="default" w:ascii="Times New Roman" w:hAnsi="Times New Roman" w:cs="Times New Roman" w:eastAsiaTheme="minorEastAsia"/>
          <w:sz w:val="24"/>
          <w:szCs w:val="24"/>
        </w:rPr>
        <w:t>牌板（架）及其位置的其他要求应符合GB/T 19131的规定。</w:t>
      </w:r>
    </w:p>
    <w:p>
      <w:pPr>
        <w:spacing w:line="360" w:lineRule="auto"/>
        <w:ind w:firstLine="480" w:firstLineChars="200"/>
        <w:jc w:val="left"/>
        <w:rPr>
          <w:rFonts w:hint="default" w:ascii="Times New Roman" w:hAnsi="Times New Roman" w:eastAsia="黑体" w:cs="Times New Roman"/>
          <w:sz w:val="24"/>
        </w:rPr>
      </w:pPr>
      <w:r>
        <w:rPr>
          <w:rFonts w:hint="default" w:ascii="Times New Roman" w:hAnsi="Times New Roman" w:eastAsia="黑体" w:cs="Times New Roman"/>
          <w:sz w:val="24"/>
          <w:lang w:val="en-US" w:eastAsia="zh-CN"/>
        </w:rPr>
        <w:t>4</w:t>
      </w:r>
      <w:r>
        <w:rPr>
          <w:rFonts w:hint="default" w:ascii="Times New Roman" w:hAnsi="Times New Roman" w:eastAsia="黑体" w:cs="Times New Roman"/>
          <w:sz w:val="24"/>
        </w:rPr>
        <w:t>、主要试验（或验证）情况分析</w:t>
      </w:r>
    </w:p>
    <w:p>
      <w:pPr>
        <w:pStyle w:val="22"/>
        <w:spacing w:line="360" w:lineRule="auto"/>
        <w:ind w:firstLine="480"/>
        <w:rPr>
          <w:rFonts w:hint="default" w:ascii="Times New Roman" w:hAnsi="Times New Roman" w:cs="Times New Roman"/>
          <w:sz w:val="24"/>
        </w:rPr>
      </w:pPr>
      <w:r>
        <w:rPr>
          <w:rFonts w:hint="default" w:ascii="Times New Roman" w:hAnsi="Times New Roman" w:cs="Times New Roman"/>
          <w:kern w:val="0"/>
          <w:sz w:val="24"/>
        </w:rPr>
        <w:t>本标准在研制过程中，起草工作组联合骨干企业和骨干检验检测机构，经实地考察和调研，结合行业的实际情况和目前我国国内机械类安全标准要求和三轮汽车现有标准的安全要求和下一步管理需求，GB 7258、GB 1589等有关安全性的强制性标准文件，确保标准的技术要求与我国机动车的管理保持一致。针对我国三轮汽车涉及一</w:t>
      </w:r>
      <w:r>
        <w:rPr>
          <w:rFonts w:hint="default" w:ascii="Times New Roman" w:hAnsi="Times New Roman" w:cs="Times New Roman"/>
          <w:bCs/>
          <w:sz w:val="24"/>
        </w:rPr>
        <w:t>般产品和专用功能产品，规定三轮汽车在整车要求、驾驶员工作位置、稳定性、主要功能部件和性能要求等</w:t>
      </w:r>
      <w:r>
        <w:rPr>
          <w:rFonts w:hint="default" w:ascii="Times New Roman" w:hAnsi="Times New Roman" w:cs="Times New Roman"/>
          <w:kern w:val="0"/>
          <w:sz w:val="24"/>
        </w:rPr>
        <w:t>方面规定了相应的安全要求。</w:t>
      </w:r>
    </w:p>
    <w:p>
      <w:pPr>
        <w:pStyle w:val="22"/>
        <w:spacing w:line="360" w:lineRule="auto"/>
        <w:ind w:firstLine="480"/>
        <w:rPr>
          <w:rFonts w:hint="default" w:ascii="Times New Roman" w:hAnsi="Times New Roman" w:cs="Times New Roman"/>
          <w:sz w:val="24"/>
        </w:rPr>
      </w:pPr>
      <w:r>
        <w:rPr>
          <w:rFonts w:hint="default" w:ascii="Times New Roman" w:hAnsi="Times New Roman" w:cs="Times New Roman"/>
          <w:sz w:val="24"/>
        </w:rPr>
        <w:t>经调研和研讨证明本标准规定的试验方法是现有，符合行业实际情况，能够体现出我国当前三轮汽车的安全质量技术水平，调研结果表明本标准规定的技术内容能够用于引导、规范三轮汽车产品在生产、设计、检测、管理等各环节控制产品的质量，对提高三轮汽车产品的安全质量，做好服务“三农”工作具有推动作用。经调研和分析本标准的规定合理、有效、可行，能够用于指导和规范</w:t>
      </w:r>
      <w:r>
        <w:rPr>
          <w:rFonts w:hint="default" w:ascii="Times New Roman" w:hAnsi="Times New Roman" w:cs="Times New Roman" w:eastAsiaTheme="minorEastAsia"/>
          <w:sz w:val="24"/>
          <w:shd w:val="clear" w:color="auto" w:fill="FFFFFF"/>
        </w:rPr>
        <w:t>三轮汽车</w:t>
      </w:r>
      <w:r>
        <w:rPr>
          <w:rFonts w:hint="default" w:ascii="Times New Roman" w:hAnsi="Times New Roman" w:cs="Times New Roman"/>
          <w:sz w:val="24"/>
        </w:rPr>
        <w:t>安全技术性能的设计、制造和检验。</w:t>
      </w:r>
    </w:p>
    <w:p>
      <w:pPr>
        <w:spacing w:line="360" w:lineRule="auto"/>
        <w:ind w:firstLine="480" w:firstLineChars="200"/>
        <w:jc w:val="left"/>
        <w:rPr>
          <w:rFonts w:hint="default" w:ascii="Times New Roman" w:hAnsi="Times New Roman" w:eastAsia="黑体" w:cs="Times New Roman"/>
          <w:sz w:val="24"/>
          <w:lang w:val="en-US" w:eastAsia="zh-CN"/>
        </w:rPr>
      </w:pPr>
      <w:r>
        <w:rPr>
          <w:rFonts w:hint="default" w:ascii="Times New Roman" w:hAnsi="Times New Roman" w:eastAsia="黑体" w:cs="Times New Roman"/>
          <w:sz w:val="24"/>
          <w:lang w:val="en-US" w:eastAsia="zh-CN"/>
        </w:rPr>
        <w:t>5、主要技术变化情况</w:t>
      </w:r>
    </w:p>
    <w:p>
      <w:pPr>
        <w:pStyle w:val="22"/>
        <w:spacing w:line="360" w:lineRule="auto"/>
        <w:ind w:firstLine="480"/>
        <w:rPr>
          <w:rFonts w:hint="default" w:ascii="Times New Roman" w:hAnsi="Times New Roman" w:cs="Times New Roman" w:eastAsiaTheme="minorEastAsia"/>
          <w:kern w:val="0"/>
          <w:sz w:val="24"/>
          <w:szCs w:val="24"/>
        </w:rPr>
      </w:pPr>
      <w:r>
        <w:rPr>
          <w:rFonts w:hint="default" w:ascii="Times New Roman" w:hAnsi="Times New Roman" w:cs="Times New Roman" w:eastAsiaTheme="minorEastAsia"/>
          <w:kern w:val="0"/>
          <w:sz w:val="24"/>
          <w:szCs w:val="24"/>
        </w:rPr>
        <w:t>本文件代替GB 18320-2008和GB 24943-2010，整合了GB 24943-2010全部技术内容，与GB 18320-2008相比，除了结构调整和编辑性修改外，主要技术变化如下：</w:t>
      </w:r>
    </w:p>
    <w:p>
      <w:pPr>
        <w:pStyle w:val="22"/>
        <w:spacing w:line="360" w:lineRule="auto"/>
        <w:ind w:firstLine="480"/>
        <w:rPr>
          <w:rFonts w:hint="default" w:ascii="Times New Roman" w:hAnsi="Times New Roman" w:cs="Times New Roman"/>
          <w:sz w:val="24"/>
        </w:rPr>
      </w:pPr>
      <w:r>
        <w:rPr>
          <w:rFonts w:hint="default" w:ascii="Times New Roman" w:hAnsi="Times New Roman" w:cs="Times New Roman"/>
          <w:sz w:val="24"/>
        </w:rPr>
        <w:t>——标准名称由“三轮汽车和低速货车 安全技术要求”更改为“三轮汽车  安全技术规范”；</w:t>
      </w:r>
    </w:p>
    <w:p>
      <w:pPr>
        <w:pStyle w:val="22"/>
        <w:spacing w:line="360" w:lineRule="auto"/>
        <w:ind w:firstLine="480"/>
        <w:rPr>
          <w:rFonts w:hint="default" w:ascii="Times New Roman" w:hAnsi="Times New Roman" w:cs="Times New Roman"/>
          <w:sz w:val="24"/>
        </w:rPr>
      </w:pPr>
      <w:r>
        <w:rPr>
          <w:rFonts w:hint="default" w:ascii="Times New Roman" w:hAnsi="Times New Roman" w:cs="Times New Roman"/>
          <w:sz w:val="24"/>
        </w:rPr>
        <w:t>——更改了标准的适用范围（见第1章，2008年版的第1章）；</w:t>
      </w:r>
    </w:p>
    <w:p>
      <w:pPr>
        <w:pStyle w:val="22"/>
        <w:spacing w:line="360" w:lineRule="auto"/>
        <w:ind w:firstLine="480"/>
        <w:rPr>
          <w:rFonts w:hint="default" w:ascii="Times New Roman" w:hAnsi="Times New Roman" w:cs="Times New Roman"/>
          <w:sz w:val="24"/>
        </w:rPr>
      </w:pPr>
      <w:r>
        <w:rPr>
          <w:rFonts w:hint="default" w:ascii="Times New Roman" w:hAnsi="Times New Roman" w:cs="Times New Roman"/>
          <w:sz w:val="24"/>
        </w:rPr>
        <w:t>——删除了危险一览表（见2008年版第3章）；</w:t>
      </w:r>
    </w:p>
    <w:p>
      <w:pPr>
        <w:pStyle w:val="22"/>
        <w:spacing w:line="360" w:lineRule="auto"/>
        <w:ind w:firstLine="480"/>
        <w:rPr>
          <w:rFonts w:hint="default" w:ascii="Times New Roman" w:hAnsi="Times New Roman" w:cs="Times New Roman"/>
          <w:sz w:val="24"/>
        </w:rPr>
      </w:pPr>
      <w:r>
        <w:rPr>
          <w:rFonts w:hint="default" w:ascii="Times New Roman" w:hAnsi="Times New Roman" w:cs="Times New Roman"/>
          <w:sz w:val="24"/>
        </w:rPr>
        <w:t>——增加了术语和定义（见第3章）；</w:t>
      </w:r>
    </w:p>
    <w:p>
      <w:pPr>
        <w:pStyle w:val="22"/>
        <w:spacing w:line="360" w:lineRule="auto"/>
        <w:ind w:firstLine="480"/>
        <w:rPr>
          <w:rFonts w:hint="default" w:ascii="Times New Roman" w:hAnsi="Times New Roman" w:cs="Times New Roman"/>
          <w:sz w:val="24"/>
        </w:rPr>
      </w:pPr>
      <w:r>
        <w:rPr>
          <w:rFonts w:hint="default" w:ascii="Times New Roman" w:hAnsi="Times New Roman" w:cs="Times New Roman"/>
          <w:sz w:val="24"/>
        </w:rPr>
        <w:t>——将一般要求调整为整车要求并增加了整车周正性、比功率、质量利用系数、罐体总容量等要求（见4.1，2008年版4.1）；</w:t>
      </w:r>
    </w:p>
    <w:p>
      <w:pPr>
        <w:pStyle w:val="22"/>
        <w:spacing w:line="360" w:lineRule="auto"/>
        <w:ind w:firstLine="480"/>
        <w:rPr>
          <w:rFonts w:hint="default" w:ascii="Times New Roman" w:hAnsi="Times New Roman" w:cs="Times New Roman"/>
          <w:sz w:val="24"/>
        </w:rPr>
      </w:pPr>
      <w:r>
        <w:rPr>
          <w:rFonts w:hint="default" w:ascii="Times New Roman" w:hAnsi="Times New Roman" w:cs="Times New Roman"/>
          <w:sz w:val="24"/>
        </w:rPr>
        <w:t>——增加了排半驾驶室的三轮汽车座椅后部空间要求（见4.2.1.2）；</w:t>
      </w:r>
    </w:p>
    <w:p>
      <w:pPr>
        <w:pStyle w:val="22"/>
        <w:spacing w:line="360" w:lineRule="auto"/>
        <w:ind w:firstLine="480"/>
        <w:rPr>
          <w:rFonts w:hint="default" w:ascii="Times New Roman" w:hAnsi="Times New Roman" w:cs="Times New Roman"/>
          <w:sz w:val="24"/>
        </w:rPr>
      </w:pPr>
      <w:r>
        <w:rPr>
          <w:rFonts w:hint="default" w:ascii="Times New Roman" w:hAnsi="Times New Roman" w:cs="Times New Roman"/>
          <w:sz w:val="24"/>
        </w:rPr>
        <w:t>——增加了方向盘式三轮汽车的副驾驶座椅尺寸要求（见4.2.2.3）；</w:t>
      </w:r>
    </w:p>
    <w:p>
      <w:pPr>
        <w:pStyle w:val="22"/>
        <w:spacing w:line="360" w:lineRule="auto"/>
        <w:ind w:firstLine="480"/>
        <w:rPr>
          <w:rFonts w:hint="default" w:ascii="Times New Roman" w:hAnsi="Times New Roman" w:cs="Times New Roman"/>
          <w:sz w:val="24"/>
        </w:rPr>
      </w:pPr>
      <w:r>
        <w:rPr>
          <w:rFonts w:hint="default" w:ascii="Times New Roman" w:hAnsi="Times New Roman" w:cs="Times New Roman"/>
          <w:sz w:val="24"/>
        </w:rPr>
        <w:t>——更改了转向盘（方向把）中心偏置量要求（见4.2.3.1，2008年版4.2.3）；</w:t>
      </w:r>
    </w:p>
    <w:p>
      <w:pPr>
        <w:pStyle w:val="22"/>
        <w:spacing w:line="360" w:lineRule="auto"/>
        <w:ind w:firstLine="480"/>
        <w:rPr>
          <w:rFonts w:hint="default" w:ascii="Times New Roman" w:hAnsi="Times New Roman" w:cs="Times New Roman"/>
          <w:sz w:val="24"/>
        </w:rPr>
      </w:pPr>
      <w:r>
        <w:rPr>
          <w:rFonts w:hint="default" w:ascii="Times New Roman" w:hAnsi="Times New Roman" w:cs="Times New Roman"/>
          <w:sz w:val="24"/>
        </w:rPr>
        <w:t>——增加了操纵机构的各零部件灵活性要求（见4.2.4.2）；</w:t>
      </w:r>
    </w:p>
    <w:p>
      <w:pPr>
        <w:pStyle w:val="22"/>
        <w:spacing w:line="360" w:lineRule="auto"/>
        <w:ind w:firstLine="480"/>
        <w:rPr>
          <w:rFonts w:hint="default" w:ascii="Times New Roman" w:hAnsi="Times New Roman" w:cs="Times New Roman"/>
          <w:sz w:val="24"/>
        </w:rPr>
      </w:pPr>
      <w:r>
        <w:rPr>
          <w:rFonts w:hint="default" w:ascii="Times New Roman" w:hAnsi="Times New Roman" w:cs="Times New Roman"/>
          <w:sz w:val="24"/>
        </w:rPr>
        <w:t>——更改了全封闭驾驶室三轮汽车进出驾驶室的通道要求，删除了低速货车进出驾驶室的通道要求（见4.2.5.2，2008年版4.2.5）；</w:t>
      </w:r>
    </w:p>
    <w:p>
      <w:pPr>
        <w:pStyle w:val="22"/>
        <w:spacing w:line="360" w:lineRule="auto"/>
        <w:ind w:firstLine="480"/>
        <w:rPr>
          <w:rFonts w:hint="default" w:ascii="Times New Roman" w:hAnsi="Times New Roman" w:cs="Times New Roman"/>
          <w:sz w:val="24"/>
        </w:rPr>
      </w:pPr>
      <w:r>
        <w:rPr>
          <w:rFonts w:hint="default" w:ascii="Times New Roman" w:hAnsi="Times New Roman" w:cs="Times New Roman"/>
          <w:sz w:val="24"/>
        </w:rPr>
        <w:t>——更改了车身、车门和车窗要求，增加了车身不应出现镜面反光、不应设置增加外扩尺寸结构、载货部位结构、微波窗口等要求（见4.2.6，2008年版4.2.6）；</w:t>
      </w:r>
    </w:p>
    <w:p>
      <w:pPr>
        <w:pStyle w:val="22"/>
        <w:spacing w:line="360" w:lineRule="auto"/>
        <w:ind w:firstLine="480"/>
        <w:rPr>
          <w:rFonts w:hint="default" w:ascii="Times New Roman" w:hAnsi="Times New Roman" w:cs="Times New Roman"/>
          <w:sz w:val="24"/>
        </w:rPr>
      </w:pPr>
      <w:r>
        <w:rPr>
          <w:rFonts w:hint="default" w:ascii="Times New Roman" w:hAnsi="Times New Roman" w:cs="Times New Roman"/>
          <w:sz w:val="24"/>
        </w:rPr>
        <w:t>——删除了低速货车转向轴轴荷比和侧倾稳定角要求，增加了罐式三轮汽车侧倾稳定角要求（见4.3，2008年版4.3）；</w:t>
      </w:r>
    </w:p>
    <w:p>
      <w:pPr>
        <w:pStyle w:val="22"/>
        <w:spacing w:line="360" w:lineRule="auto"/>
        <w:ind w:firstLine="480"/>
        <w:rPr>
          <w:rFonts w:hint="default" w:ascii="Times New Roman" w:hAnsi="Times New Roman" w:cs="Times New Roman"/>
          <w:sz w:val="24"/>
        </w:rPr>
      </w:pPr>
      <w:r>
        <w:rPr>
          <w:rFonts w:hint="default" w:ascii="Times New Roman" w:hAnsi="Times New Roman" w:cs="Times New Roman"/>
          <w:sz w:val="24"/>
        </w:rPr>
        <w:t>——删除了低速货车转向系要求，更改了三轮汽车方向盘最大自由转动量，增加了转向限位装置承载扭矩、增加了前减震器外观、方向柱等要求（见4.4.2，2008年版4.4.2）；</w:t>
      </w:r>
    </w:p>
    <w:p>
      <w:pPr>
        <w:pStyle w:val="22"/>
        <w:spacing w:line="360" w:lineRule="auto"/>
        <w:ind w:firstLine="480"/>
        <w:rPr>
          <w:rFonts w:hint="default" w:ascii="Times New Roman" w:hAnsi="Times New Roman" w:cs="Times New Roman"/>
          <w:sz w:val="24"/>
        </w:rPr>
      </w:pPr>
      <w:r>
        <w:rPr>
          <w:rFonts w:hint="default" w:ascii="Times New Roman" w:hAnsi="Times New Roman" w:cs="Times New Roman"/>
          <w:sz w:val="24"/>
        </w:rPr>
        <w:t>——删除了低速货车制动系要求，增加了液压制动系统、气压制动系统要求，删除了台式制动要求（见4.4.3，2008年版4.4.3）；</w:t>
      </w:r>
    </w:p>
    <w:p>
      <w:pPr>
        <w:pStyle w:val="22"/>
        <w:spacing w:line="360" w:lineRule="auto"/>
        <w:ind w:firstLine="480"/>
        <w:rPr>
          <w:rFonts w:hint="default" w:ascii="Times New Roman" w:hAnsi="Times New Roman" w:cs="Times New Roman"/>
          <w:sz w:val="24"/>
        </w:rPr>
      </w:pPr>
      <w:r>
        <w:rPr>
          <w:rFonts w:hint="default" w:ascii="Times New Roman" w:hAnsi="Times New Roman" w:cs="Times New Roman"/>
          <w:sz w:val="24"/>
        </w:rPr>
        <w:t>——增加了轮胎规格、轮胎胎面、车轮总成跳动量等要求（见4.4.4，2008年版4.4.4）；</w:t>
      </w:r>
    </w:p>
    <w:p>
      <w:pPr>
        <w:pStyle w:val="22"/>
        <w:spacing w:line="360" w:lineRule="auto"/>
        <w:ind w:firstLine="480"/>
        <w:rPr>
          <w:rFonts w:hint="default" w:ascii="Times New Roman" w:hAnsi="Times New Roman" w:cs="Times New Roman"/>
          <w:sz w:val="24"/>
        </w:rPr>
      </w:pPr>
      <w:r>
        <w:rPr>
          <w:rFonts w:hint="default" w:ascii="Times New Roman" w:hAnsi="Times New Roman" w:cs="Times New Roman"/>
          <w:sz w:val="24"/>
        </w:rPr>
        <w:t>——增加了不应采用超速挡的变速器、传动轴运转稳定性、限速装置等要求，删除了换挡杆操纵力要求（见4.4.5，2008年版4.4.5）；</w:t>
      </w:r>
    </w:p>
    <w:p>
      <w:pPr>
        <w:pStyle w:val="22"/>
        <w:spacing w:line="360" w:lineRule="auto"/>
        <w:ind w:firstLine="480"/>
        <w:rPr>
          <w:rFonts w:hint="default" w:ascii="Times New Roman" w:hAnsi="Times New Roman" w:cs="Times New Roman"/>
          <w:sz w:val="24"/>
        </w:rPr>
      </w:pPr>
      <w:r>
        <w:rPr>
          <w:rFonts w:hint="default" w:ascii="Times New Roman" w:hAnsi="Times New Roman" w:cs="Times New Roman"/>
          <w:sz w:val="24"/>
        </w:rPr>
        <w:t>——增加了侧翻式自卸装置要求（见4.4.6.1）；</w:t>
      </w:r>
    </w:p>
    <w:p>
      <w:pPr>
        <w:pStyle w:val="22"/>
        <w:spacing w:line="360" w:lineRule="auto"/>
        <w:ind w:firstLine="480"/>
        <w:rPr>
          <w:rFonts w:hint="default" w:ascii="Times New Roman" w:hAnsi="Times New Roman" w:cs="Times New Roman"/>
          <w:sz w:val="24"/>
        </w:rPr>
      </w:pPr>
      <w:r>
        <w:rPr>
          <w:rFonts w:hint="default" w:ascii="Times New Roman" w:hAnsi="Times New Roman" w:cs="Times New Roman"/>
          <w:sz w:val="24"/>
        </w:rPr>
        <w:t>——删除了低速货车照明、信号装置和电气设备要求，增加了照明、信号装置振动稳定性、不应安装外部遮挡、前照灯灯光束照射位置、远光灯总发光强度、信号装置配光性能、反光标识安装等要求（见4.5，2008年版4.5）；</w:t>
      </w:r>
    </w:p>
    <w:p>
      <w:pPr>
        <w:pStyle w:val="22"/>
        <w:spacing w:line="360" w:lineRule="auto"/>
        <w:ind w:firstLine="480"/>
        <w:rPr>
          <w:rFonts w:hint="default" w:ascii="Times New Roman" w:hAnsi="Times New Roman" w:cs="Times New Roman"/>
          <w:sz w:val="24"/>
        </w:rPr>
      </w:pPr>
      <w:r>
        <w:rPr>
          <w:rFonts w:hint="default" w:ascii="Times New Roman" w:hAnsi="Times New Roman" w:cs="Times New Roman"/>
          <w:sz w:val="24"/>
        </w:rPr>
        <w:t>——删除了低速货车安全防护装置要求，增加了后视镜的性能、安装位置和角度要求（见4.6，2008年版4.6）；</w:t>
      </w:r>
    </w:p>
    <w:p>
      <w:pPr>
        <w:pStyle w:val="22"/>
        <w:spacing w:line="360" w:lineRule="auto"/>
        <w:ind w:firstLine="480"/>
        <w:rPr>
          <w:rFonts w:hint="default" w:ascii="Times New Roman" w:hAnsi="Times New Roman" w:cs="Times New Roman"/>
          <w:sz w:val="24"/>
        </w:rPr>
      </w:pPr>
      <w:r>
        <w:rPr>
          <w:rFonts w:hint="default" w:ascii="Times New Roman" w:hAnsi="Times New Roman" w:cs="Times New Roman"/>
          <w:sz w:val="24"/>
        </w:rPr>
        <w:t>——增加了管路布线要求（见4.7.1.3）；</w:t>
      </w:r>
    </w:p>
    <w:p>
      <w:pPr>
        <w:pStyle w:val="22"/>
        <w:spacing w:line="360" w:lineRule="auto"/>
        <w:ind w:firstLine="480"/>
        <w:rPr>
          <w:rFonts w:hint="default" w:ascii="Times New Roman" w:hAnsi="Times New Roman" w:cs="Times New Roman"/>
          <w:sz w:val="24"/>
        </w:rPr>
      </w:pPr>
      <w:r>
        <w:rPr>
          <w:rFonts w:hint="default" w:ascii="Times New Roman" w:hAnsi="Times New Roman" w:cs="Times New Roman"/>
          <w:sz w:val="24"/>
        </w:rPr>
        <w:t>——删除了低速货车油箱要求（见4.7.2，2008年版4.7.2）；</w:t>
      </w:r>
    </w:p>
    <w:p>
      <w:pPr>
        <w:pStyle w:val="22"/>
        <w:spacing w:line="360" w:lineRule="auto"/>
        <w:ind w:firstLine="480"/>
        <w:rPr>
          <w:rFonts w:hint="default" w:ascii="Times New Roman" w:hAnsi="Times New Roman" w:cs="Times New Roman"/>
          <w:sz w:val="24"/>
        </w:rPr>
      </w:pPr>
      <w:r>
        <w:rPr>
          <w:rFonts w:hint="default" w:ascii="Times New Roman" w:hAnsi="Times New Roman" w:cs="Times New Roman"/>
          <w:sz w:val="24"/>
        </w:rPr>
        <w:t>——更改了热表面防护装置或挡板要求（见4.8.1，2008年版4.8）；</w:t>
      </w:r>
    </w:p>
    <w:p>
      <w:pPr>
        <w:pStyle w:val="22"/>
        <w:spacing w:line="360" w:lineRule="auto"/>
        <w:ind w:firstLine="480"/>
        <w:rPr>
          <w:rFonts w:hint="default" w:ascii="Times New Roman" w:hAnsi="Times New Roman" w:cs="Times New Roman"/>
          <w:sz w:val="24"/>
        </w:rPr>
      </w:pPr>
      <w:r>
        <w:rPr>
          <w:rFonts w:hint="default" w:ascii="Times New Roman" w:hAnsi="Times New Roman" w:cs="Times New Roman"/>
          <w:sz w:val="24"/>
        </w:rPr>
        <w:t>——增加了电气导线接插件牢靠性、导线绝缘性及保险丝安装等要求（见4.9.2.2~4.9.2.4）；</w:t>
      </w:r>
    </w:p>
    <w:p>
      <w:pPr>
        <w:pStyle w:val="22"/>
        <w:spacing w:line="360" w:lineRule="auto"/>
        <w:ind w:firstLine="480"/>
        <w:rPr>
          <w:rFonts w:hint="default" w:ascii="Times New Roman" w:hAnsi="Times New Roman" w:cs="Times New Roman"/>
          <w:sz w:val="24"/>
        </w:rPr>
      </w:pPr>
      <w:r>
        <w:rPr>
          <w:rFonts w:hint="default" w:ascii="Times New Roman" w:hAnsi="Times New Roman" w:cs="Times New Roman"/>
          <w:sz w:val="24"/>
        </w:rPr>
        <w:t>——删除了低速货车最高设计车速要求，增加了最大设计车速大于40 km/h的三轮汽车安装车速表要求（见4.11，2008年版4.11）；</w:t>
      </w:r>
    </w:p>
    <w:p>
      <w:pPr>
        <w:pStyle w:val="22"/>
        <w:spacing w:line="360" w:lineRule="auto"/>
        <w:ind w:firstLine="480"/>
        <w:rPr>
          <w:rFonts w:hint="default" w:ascii="Times New Roman" w:hAnsi="Times New Roman" w:cs="Times New Roman"/>
          <w:sz w:val="24"/>
        </w:rPr>
      </w:pPr>
      <w:r>
        <w:rPr>
          <w:rFonts w:hint="default" w:ascii="Times New Roman" w:hAnsi="Times New Roman" w:cs="Times New Roman"/>
          <w:sz w:val="24"/>
        </w:rPr>
        <w:t>——删除了低速货车最大允许总质量和外廓尺寸要求，增加了尺寸参数和质量参数制造误差要求（见4.12，2008年版4.12）；</w:t>
      </w:r>
    </w:p>
    <w:p>
      <w:pPr>
        <w:pStyle w:val="22"/>
        <w:spacing w:line="360" w:lineRule="auto"/>
        <w:ind w:firstLine="480"/>
        <w:rPr>
          <w:rFonts w:hint="default" w:ascii="Times New Roman" w:hAnsi="Times New Roman" w:cs="Times New Roman"/>
          <w:sz w:val="24"/>
        </w:rPr>
      </w:pPr>
      <w:r>
        <w:rPr>
          <w:rFonts w:hint="default" w:ascii="Times New Roman" w:hAnsi="Times New Roman" w:cs="Times New Roman"/>
          <w:sz w:val="24"/>
        </w:rPr>
        <w:t>——更改了排气管口方向要求、加速排气烟度限值、排气污染物排放限值等要求（见4.1</w:t>
      </w:r>
      <w:r>
        <w:rPr>
          <w:rFonts w:hint="default" w:ascii="Times New Roman" w:hAnsi="Times New Roman" w:cs="Times New Roman"/>
          <w:sz w:val="24"/>
          <w:lang w:val="en-US" w:eastAsia="zh-CN"/>
        </w:rPr>
        <w:t>3</w:t>
      </w:r>
      <w:r>
        <w:rPr>
          <w:rFonts w:hint="default" w:ascii="Times New Roman" w:hAnsi="Times New Roman" w:cs="Times New Roman"/>
          <w:sz w:val="24"/>
        </w:rPr>
        <w:t>，2008年版4.13）；</w:t>
      </w:r>
    </w:p>
    <w:p>
      <w:pPr>
        <w:pStyle w:val="22"/>
        <w:spacing w:line="360" w:lineRule="auto"/>
        <w:ind w:firstLine="480"/>
        <w:rPr>
          <w:rFonts w:hint="default" w:ascii="Times New Roman" w:hAnsi="Times New Roman" w:cs="Times New Roman"/>
          <w:sz w:val="24"/>
        </w:rPr>
      </w:pPr>
      <w:r>
        <w:rPr>
          <w:rFonts w:hint="default" w:ascii="Times New Roman" w:hAnsi="Times New Roman" w:cs="Times New Roman"/>
          <w:sz w:val="24"/>
        </w:rPr>
        <w:t>——增加了安装柴油发动机三轮汽车的燃料消耗量限值要求（见4.1</w:t>
      </w:r>
      <w:r>
        <w:rPr>
          <w:rFonts w:hint="default" w:ascii="Times New Roman" w:hAnsi="Times New Roman" w:cs="Times New Roman"/>
          <w:sz w:val="24"/>
          <w:lang w:val="en-US" w:eastAsia="zh-CN"/>
        </w:rPr>
        <w:t>4</w:t>
      </w:r>
      <w:r>
        <w:rPr>
          <w:rFonts w:hint="default" w:ascii="Times New Roman" w:hAnsi="Times New Roman" w:cs="Times New Roman"/>
          <w:sz w:val="24"/>
        </w:rPr>
        <w:t>）；</w:t>
      </w:r>
    </w:p>
    <w:p>
      <w:pPr>
        <w:pStyle w:val="22"/>
        <w:spacing w:line="360" w:lineRule="auto"/>
        <w:ind w:firstLine="480"/>
        <w:rPr>
          <w:rFonts w:hint="default" w:ascii="Times New Roman" w:hAnsi="Times New Roman" w:cs="Times New Roman"/>
          <w:sz w:val="24"/>
        </w:rPr>
      </w:pPr>
      <w:r>
        <w:rPr>
          <w:rFonts w:hint="default" w:ascii="Times New Roman" w:hAnsi="Times New Roman" w:cs="Times New Roman"/>
          <w:sz w:val="24"/>
        </w:rPr>
        <w:t>——删除了低速货车使用信息要求，更改了三轮汽车车辆识别代号要求、号牌板（架）设置要求等（见5.1，2008年版6.1）；</w:t>
      </w:r>
    </w:p>
    <w:p>
      <w:pPr>
        <w:pStyle w:val="22"/>
        <w:spacing w:line="360" w:lineRule="auto"/>
        <w:ind w:firstLine="480"/>
        <w:rPr>
          <w:rFonts w:hint="default" w:ascii="Times New Roman" w:hAnsi="Times New Roman" w:cs="Times New Roman"/>
          <w:sz w:val="24"/>
        </w:rPr>
      </w:pPr>
      <w:r>
        <w:rPr>
          <w:rFonts w:hint="default" w:ascii="Times New Roman" w:hAnsi="Times New Roman" w:cs="Times New Roman"/>
          <w:sz w:val="24"/>
        </w:rPr>
        <w:t>——删除了低速货车图形标志要求（见5.2，2008年版6.2）；</w:t>
      </w:r>
    </w:p>
    <w:p>
      <w:pPr>
        <w:pStyle w:val="22"/>
        <w:spacing w:line="360" w:lineRule="auto"/>
        <w:ind w:firstLine="480"/>
        <w:rPr>
          <w:rFonts w:hint="default" w:ascii="Times New Roman" w:hAnsi="Times New Roman" w:cs="Times New Roman"/>
          <w:sz w:val="24"/>
        </w:rPr>
      </w:pPr>
      <w:r>
        <w:rPr>
          <w:rFonts w:hint="default" w:ascii="Times New Roman" w:hAnsi="Times New Roman" w:cs="Times New Roman"/>
          <w:sz w:val="24"/>
        </w:rPr>
        <w:t>——删除了低速货车安全标志要求、更改了安全标志型式、构成、颜色和尺寸等要求（见5.3，2008年版6.3）；</w:t>
      </w:r>
    </w:p>
    <w:p>
      <w:pPr>
        <w:pStyle w:val="22"/>
        <w:spacing w:line="360" w:lineRule="auto"/>
        <w:ind w:firstLine="480"/>
        <w:rPr>
          <w:rFonts w:hint="default" w:ascii="Times New Roman" w:hAnsi="Times New Roman" w:cs="Times New Roman"/>
          <w:sz w:val="24"/>
        </w:rPr>
      </w:pPr>
      <w:r>
        <w:rPr>
          <w:rFonts w:hint="default" w:ascii="Times New Roman" w:hAnsi="Times New Roman" w:cs="Times New Roman"/>
          <w:sz w:val="24"/>
        </w:rPr>
        <w:t>——删除了低速货车使用说明书要求，更改了使用说明书编印要求（见5.4，2008年版6.4）</w:t>
      </w:r>
    </w:p>
    <w:p>
      <w:pPr>
        <w:pStyle w:val="22"/>
        <w:spacing w:line="360" w:lineRule="auto"/>
        <w:ind w:firstLine="480"/>
        <w:rPr>
          <w:rFonts w:hint="default" w:ascii="Times New Roman" w:hAnsi="Times New Roman" w:cs="Times New Roman"/>
          <w:sz w:val="24"/>
        </w:rPr>
      </w:pPr>
      <w:r>
        <w:rPr>
          <w:rFonts w:hint="default" w:ascii="Times New Roman" w:hAnsi="Times New Roman" w:cs="Times New Roman"/>
          <w:sz w:val="24"/>
        </w:rPr>
        <w:t>——删除了一般要求的判定，增加了整车要求测量方法（见6.1，2008年版5.1）；</w:t>
      </w:r>
    </w:p>
    <w:p>
      <w:pPr>
        <w:pStyle w:val="22"/>
        <w:spacing w:line="360" w:lineRule="auto"/>
        <w:ind w:firstLine="480"/>
        <w:rPr>
          <w:rFonts w:hint="default" w:ascii="Times New Roman" w:hAnsi="Times New Roman" w:cs="Times New Roman"/>
          <w:sz w:val="24"/>
        </w:rPr>
      </w:pPr>
      <w:r>
        <w:rPr>
          <w:rFonts w:hint="default" w:ascii="Times New Roman" w:hAnsi="Times New Roman" w:cs="Times New Roman"/>
          <w:sz w:val="24"/>
        </w:rPr>
        <w:t>——增加了排半驾驶室的三轮汽车座椅后部空间测量方法（见6.2.1，2008年版5.2.1）；</w:t>
      </w:r>
    </w:p>
    <w:p>
      <w:pPr>
        <w:pStyle w:val="22"/>
        <w:spacing w:line="360" w:lineRule="auto"/>
        <w:ind w:firstLine="480"/>
        <w:rPr>
          <w:rFonts w:hint="default" w:ascii="Times New Roman" w:hAnsi="Times New Roman" w:cs="Times New Roman"/>
          <w:sz w:val="24"/>
        </w:rPr>
      </w:pPr>
      <w:r>
        <w:rPr>
          <w:rFonts w:hint="default" w:ascii="Times New Roman" w:hAnsi="Times New Roman" w:cs="Times New Roman"/>
          <w:sz w:val="24"/>
        </w:rPr>
        <w:t>——增加了座椅尺寸测量方法（见6.2.2，2008年版5.2.2）；</w:t>
      </w:r>
    </w:p>
    <w:p>
      <w:pPr>
        <w:pStyle w:val="22"/>
        <w:spacing w:line="360" w:lineRule="auto"/>
        <w:ind w:firstLine="480"/>
        <w:rPr>
          <w:rFonts w:hint="default" w:ascii="Times New Roman" w:hAnsi="Times New Roman" w:cs="Times New Roman"/>
          <w:sz w:val="24"/>
        </w:rPr>
      </w:pPr>
      <w:r>
        <w:rPr>
          <w:rFonts w:hint="default" w:ascii="Times New Roman" w:hAnsi="Times New Roman" w:cs="Times New Roman"/>
          <w:sz w:val="24"/>
        </w:rPr>
        <w:t>——增加了转向盘（方向把）偏置量、与相邻部件之间的间隙的测量方法（见6.2.3，2008年版5.2.3）；</w:t>
      </w:r>
    </w:p>
    <w:p>
      <w:pPr>
        <w:pStyle w:val="22"/>
        <w:spacing w:line="360" w:lineRule="auto"/>
        <w:ind w:firstLine="480"/>
        <w:rPr>
          <w:rFonts w:hint="default" w:ascii="Times New Roman" w:hAnsi="Times New Roman" w:cs="Times New Roman"/>
          <w:sz w:val="24"/>
        </w:rPr>
      </w:pPr>
      <w:r>
        <w:rPr>
          <w:rFonts w:hint="default" w:ascii="Times New Roman" w:hAnsi="Times New Roman" w:cs="Times New Roman"/>
          <w:sz w:val="24"/>
        </w:rPr>
        <w:t>——增加了手动操纵机构的周围间隙的测量方法（见6.2.4，2008年版5.2.4）；</w:t>
      </w:r>
    </w:p>
    <w:p>
      <w:pPr>
        <w:pStyle w:val="22"/>
        <w:spacing w:line="360" w:lineRule="auto"/>
        <w:ind w:firstLine="480"/>
        <w:rPr>
          <w:rFonts w:hint="default" w:ascii="Times New Roman" w:hAnsi="Times New Roman" w:cs="Times New Roman"/>
          <w:sz w:val="24"/>
        </w:rPr>
      </w:pPr>
      <w:r>
        <w:rPr>
          <w:rFonts w:hint="default" w:ascii="Times New Roman" w:hAnsi="Times New Roman" w:cs="Times New Roman"/>
          <w:sz w:val="24"/>
        </w:rPr>
        <w:t>——增加了进出驾驶座位的通道测量方法（见6.2.5，2008年版5.2.5）；</w:t>
      </w:r>
    </w:p>
    <w:p>
      <w:pPr>
        <w:pStyle w:val="22"/>
        <w:spacing w:line="360" w:lineRule="auto"/>
        <w:ind w:firstLine="480"/>
        <w:rPr>
          <w:rFonts w:hint="default" w:ascii="Times New Roman" w:hAnsi="Times New Roman" w:cs="Times New Roman"/>
          <w:sz w:val="24"/>
        </w:rPr>
      </w:pPr>
      <w:r>
        <w:rPr>
          <w:rFonts w:hint="default" w:ascii="Times New Roman" w:hAnsi="Times New Roman" w:cs="Times New Roman"/>
          <w:sz w:val="24"/>
        </w:rPr>
        <w:t>——更改了车身、车门和车窗测量方法（见6.2.6，2008年版5.2.6）；</w:t>
      </w:r>
    </w:p>
    <w:p>
      <w:pPr>
        <w:pStyle w:val="22"/>
        <w:spacing w:line="360" w:lineRule="auto"/>
        <w:ind w:firstLine="480"/>
        <w:rPr>
          <w:rFonts w:hint="default" w:ascii="Times New Roman" w:hAnsi="Times New Roman" w:cs="Times New Roman"/>
          <w:sz w:val="24"/>
        </w:rPr>
      </w:pPr>
      <w:r>
        <w:rPr>
          <w:rFonts w:hint="default" w:ascii="Times New Roman" w:hAnsi="Times New Roman" w:cs="Times New Roman"/>
          <w:sz w:val="24"/>
        </w:rPr>
        <w:t>——更改了转向轮轴荷比的测量方法（见6.3.2，2008年版5.3.2）；</w:t>
      </w:r>
    </w:p>
    <w:p>
      <w:pPr>
        <w:pStyle w:val="22"/>
        <w:spacing w:line="360" w:lineRule="auto"/>
        <w:ind w:firstLine="480"/>
        <w:rPr>
          <w:rFonts w:hint="default" w:ascii="Times New Roman" w:hAnsi="Times New Roman" w:cs="Times New Roman"/>
          <w:sz w:val="24"/>
        </w:rPr>
      </w:pPr>
      <w:r>
        <w:rPr>
          <w:rFonts w:hint="default" w:ascii="Times New Roman" w:hAnsi="Times New Roman" w:cs="Times New Roman"/>
          <w:sz w:val="24"/>
        </w:rPr>
        <w:t>——删除了低速货车转向系测量方法，更改了转向盘的最大自由转动量、转向盘外缘的最大切向力测量方法，增加了转向限位装置扭矩测量方法（见6.4.2，2008年版5.4.2）；</w:t>
      </w:r>
    </w:p>
    <w:p>
      <w:pPr>
        <w:pStyle w:val="22"/>
        <w:spacing w:line="360" w:lineRule="auto"/>
        <w:ind w:firstLine="480"/>
        <w:rPr>
          <w:rFonts w:hint="default" w:ascii="Times New Roman" w:hAnsi="Times New Roman" w:cs="Times New Roman"/>
          <w:sz w:val="24"/>
        </w:rPr>
      </w:pPr>
      <w:r>
        <w:rPr>
          <w:rFonts w:hint="default" w:ascii="Times New Roman" w:hAnsi="Times New Roman" w:cs="Times New Roman"/>
          <w:sz w:val="24"/>
        </w:rPr>
        <w:t>——删除了低速货车制动系测量方法，增加了气压制动系统制动气室响应时间的测量方法，更改了路试行车制动性能和驻车制动性能测量方法（见6.4.3，2008年版5.4.3）；</w:t>
      </w:r>
    </w:p>
    <w:p>
      <w:pPr>
        <w:pStyle w:val="22"/>
        <w:spacing w:line="360" w:lineRule="auto"/>
        <w:ind w:firstLine="480"/>
        <w:rPr>
          <w:rFonts w:hint="default" w:ascii="Times New Roman" w:hAnsi="Times New Roman" w:cs="Times New Roman"/>
          <w:sz w:val="24"/>
        </w:rPr>
      </w:pPr>
      <w:r>
        <w:rPr>
          <w:rFonts w:hint="default" w:ascii="Times New Roman" w:hAnsi="Times New Roman" w:cs="Times New Roman"/>
          <w:sz w:val="24"/>
        </w:rPr>
        <w:t>——删除了低速货车传动系测量方法，更改了离合器及其操纵力的测量方法，增加了限速装置的测量方法</w:t>
      </w:r>
      <w:bookmarkStart w:id="0" w:name="_GoBack"/>
      <w:bookmarkEnd w:id="0"/>
      <w:r>
        <w:rPr>
          <w:rFonts w:hint="default" w:ascii="Times New Roman" w:hAnsi="Times New Roman" w:cs="Times New Roman"/>
          <w:sz w:val="24"/>
        </w:rPr>
        <w:t>（见6.4.5，2008年版5.4.5）；</w:t>
      </w:r>
    </w:p>
    <w:p>
      <w:pPr>
        <w:pStyle w:val="22"/>
        <w:spacing w:line="360" w:lineRule="auto"/>
        <w:ind w:firstLine="480"/>
        <w:rPr>
          <w:rFonts w:hint="default" w:ascii="Times New Roman" w:hAnsi="Times New Roman" w:cs="Times New Roman"/>
          <w:sz w:val="24"/>
        </w:rPr>
      </w:pPr>
      <w:r>
        <w:rPr>
          <w:rFonts w:hint="default" w:ascii="Times New Roman" w:hAnsi="Times New Roman" w:cs="Times New Roman"/>
          <w:sz w:val="24"/>
        </w:rPr>
        <w:t>——删除了低速货车照明、信号装置和其他电气设备测量方法，增加了前照灯、转向信号灯、倒车灯、回复反射器等配光性能测试方法（见6.5，2008年版5.5）；</w:t>
      </w:r>
    </w:p>
    <w:p>
      <w:pPr>
        <w:pStyle w:val="22"/>
        <w:spacing w:line="360" w:lineRule="auto"/>
        <w:ind w:firstLine="480"/>
        <w:rPr>
          <w:rFonts w:hint="default" w:ascii="Times New Roman" w:hAnsi="Times New Roman" w:cs="Times New Roman"/>
          <w:sz w:val="24"/>
        </w:rPr>
      </w:pPr>
      <w:r>
        <w:rPr>
          <w:rFonts w:hint="default" w:ascii="Times New Roman" w:hAnsi="Times New Roman" w:cs="Times New Roman"/>
          <w:sz w:val="24"/>
        </w:rPr>
        <w:t>——删除了低速货车安全防护装置测量方法（见6.6，2008年版5.6）；</w:t>
      </w:r>
    </w:p>
    <w:p>
      <w:pPr>
        <w:pStyle w:val="22"/>
        <w:spacing w:line="360" w:lineRule="auto"/>
        <w:ind w:firstLine="480"/>
        <w:rPr>
          <w:rFonts w:hint="default" w:ascii="Times New Roman" w:hAnsi="Times New Roman" w:cs="Times New Roman"/>
          <w:sz w:val="24"/>
        </w:rPr>
      </w:pPr>
      <w:r>
        <w:rPr>
          <w:rFonts w:hint="default" w:ascii="Times New Roman" w:hAnsi="Times New Roman" w:cs="Times New Roman"/>
          <w:sz w:val="24"/>
        </w:rPr>
        <w:t>——删除了低速货车热防护测量方法（见6.8，2008年版5.8）；</w:t>
      </w:r>
    </w:p>
    <w:p>
      <w:pPr>
        <w:pStyle w:val="22"/>
        <w:spacing w:line="360" w:lineRule="auto"/>
        <w:ind w:firstLine="480"/>
        <w:rPr>
          <w:rFonts w:hint="default" w:ascii="Times New Roman" w:hAnsi="Times New Roman" w:cs="Times New Roman"/>
          <w:sz w:val="24"/>
        </w:rPr>
      </w:pPr>
      <w:r>
        <w:rPr>
          <w:rFonts w:hint="default" w:ascii="Times New Roman" w:hAnsi="Times New Roman" w:cs="Times New Roman"/>
          <w:sz w:val="24"/>
        </w:rPr>
        <w:t>——删除了低速货车车速测量方法，更改了三轮汽车的实际最大行驶速度的测量方法，增加了路试检测车速表误差测量方法（见6.1</w:t>
      </w:r>
      <w:r>
        <w:rPr>
          <w:rFonts w:hint="default" w:ascii="Times New Roman" w:hAnsi="Times New Roman" w:cs="Times New Roman"/>
          <w:sz w:val="24"/>
          <w:lang w:val="en-US" w:eastAsia="zh-CN"/>
        </w:rPr>
        <w:t>0</w:t>
      </w:r>
      <w:r>
        <w:rPr>
          <w:rFonts w:hint="default" w:ascii="Times New Roman" w:hAnsi="Times New Roman" w:cs="Times New Roman"/>
          <w:sz w:val="24"/>
        </w:rPr>
        <w:t>，2008年版5.10）；</w:t>
      </w:r>
    </w:p>
    <w:p>
      <w:pPr>
        <w:pStyle w:val="22"/>
        <w:spacing w:line="360" w:lineRule="auto"/>
        <w:ind w:firstLine="480"/>
        <w:rPr>
          <w:rFonts w:hint="default" w:ascii="Times New Roman" w:hAnsi="Times New Roman" w:cs="Times New Roman"/>
          <w:sz w:val="24"/>
        </w:rPr>
      </w:pPr>
      <w:r>
        <w:rPr>
          <w:rFonts w:hint="default" w:ascii="Times New Roman" w:hAnsi="Times New Roman" w:cs="Times New Roman"/>
          <w:sz w:val="24"/>
        </w:rPr>
        <w:t>——删除了低速货车最大允许总质量和外廓尺寸测量方法，更改了三轮汽车最大允许总质量和外廓尺寸测量方法（见6.1</w:t>
      </w:r>
      <w:r>
        <w:rPr>
          <w:rFonts w:hint="default" w:ascii="Times New Roman" w:hAnsi="Times New Roman" w:cs="Times New Roman"/>
          <w:sz w:val="24"/>
          <w:lang w:val="en-US" w:eastAsia="zh-CN"/>
        </w:rPr>
        <w:t>1</w:t>
      </w:r>
      <w:r>
        <w:rPr>
          <w:rFonts w:hint="default" w:ascii="Times New Roman" w:hAnsi="Times New Roman" w:cs="Times New Roman"/>
          <w:sz w:val="24"/>
        </w:rPr>
        <w:t>，2008年版5.11）；</w:t>
      </w:r>
    </w:p>
    <w:p>
      <w:pPr>
        <w:pStyle w:val="22"/>
        <w:spacing w:line="360" w:lineRule="auto"/>
        <w:ind w:firstLine="480"/>
        <w:rPr>
          <w:rFonts w:hint="default" w:ascii="Times New Roman" w:hAnsi="Times New Roman" w:cs="Times New Roman"/>
          <w:sz w:val="24"/>
        </w:rPr>
      </w:pPr>
      <w:r>
        <w:rPr>
          <w:rFonts w:hint="default" w:ascii="Times New Roman" w:hAnsi="Times New Roman" w:cs="Times New Roman"/>
          <w:sz w:val="24"/>
        </w:rPr>
        <w:t>——删除了低速货车噪声测量方法（见6.1</w:t>
      </w:r>
      <w:r>
        <w:rPr>
          <w:rFonts w:hint="default" w:ascii="Times New Roman" w:hAnsi="Times New Roman" w:cs="Times New Roman"/>
          <w:sz w:val="24"/>
          <w:lang w:val="en-US" w:eastAsia="zh-CN"/>
        </w:rPr>
        <w:t>2</w:t>
      </w:r>
      <w:r>
        <w:rPr>
          <w:rFonts w:hint="default" w:ascii="Times New Roman" w:hAnsi="Times New Roman" w:cs="Times New Roman"/>
          <w:sz w:val="24"/>
        </w:rPr>
        <w:t>，2008年版5.12）；</w:t>
      </w:r>
    </w:p>
    <w:p>
      <w:pPr>
        <w:pStyle w:val="22"/>
        <w:spacing w:line="360" w:lineRule="auto"/>
        <w:ind w:firstLine="480"/>
        <w:rPr>
          <w:rFonts w:hint="default" w:ascii="Times New Roman" w:hAnsi="Times New Roman" w:cs="Times New Roman"/>
          <w:sz w:val="24"/>
        </w:rPr>
      </w:pPr>
      <w:r>
        <w:rPr>
          <w:rFonts w:hint="default" w:ascii="Times New Roman" w:hAnsi="Times New Roman" w:cs="Times New Roman"/>
          <w:sz w:val="24"/>
        </w:rPr>
        <w:t>——删除了低速货车排气管、自由加速烟度、排气污染物测量方法，更改了三轮汽车自由加速烟度测量方法（见6.1</w:t>
      </w:r>
      <w:r>
        <w:rPr>
          <w:rFonts w:hint="default" w:ascii="Times New Roman" w:hAnsi="Times New Roman" w:cs="Times New Roman"/>
          <w:sz w:val="24"/>
          <w:lang w:val="en-US" w:eastAsia="zh-CN"/>
        </w:rPr>
        <w:t>3</w:t>
      </w:r>
      <w:r>
        <w:rPr>
          <w:rFonts w:hint="default" w:ascii="Times New Roman" w:hAnsi="Times New Roman" w:cs="Times New Roman"/>
          <w:sz w:val="24"/>
        </w:rPr>
        <w:t>，2008年版5.13）；</w:t>
      </w:r>
    </w:p>
    <w:p>
      <w:pPr>
        <w:pStyle w:val="22"/>
        <w:spacing w:line="360" w:lineRule="auto"/>
        <w:ind w:firstLine="480"/>
        <w:rPr>
          <w:rFonts w:hint="default" w:ascii="Times New Roman" w:hAnsi="Times New Roman" w:cs="Times New Roman"/>
          <w:sz w:val="24"/>
        </w:rPr>
      </w:pPr>
      <w:r>
        <w:rPr>
          <w:rFonts w:hint="default" w:ascii="Times New Roman" w:hAnsi="Times New Roman" w:cs="Times New Roman"/>
          <w:sz w:val="24"/>
        </w:rPr>
        <w:t>——增加了安装柴油发动机三轮汽车的燃料消耗量测量方法（见6.1</w:t>
      </w:r>
      <w:r>
        <w:rPr>
          <w:rFonts w:hint="default" w:ascii="Times New Roman" w:hAnsi="Times New Roman" w:cs="Times New Roman"/>
          <w:sz w:val="24"/>
          <w:lang w:val="en-US" w:eastAsia="zh-CN"/>
        </w:rPr>
        <w:t>4</w:t>
      </w:r>
      <w:r>
        <w:rPr>
          <w:rFonts w:hint="default" w:ascii="Times New Roman" w:hAnsi="Times New Roman" w:cs="Times New Roman"/>
          <w:sz w:val="24"/>
        </w:rPr>
        <w:t>）；</w:t>
      </w:r>
    </w:p>
    <w:p>
      <w:pPr>
        <w:pStyle w:val="22"/>
        <w:spacing w:line="360" w:lineRule="auto"/>
        <w:ind w:firstLine="480"/>
        <w:rPr>
          <w:rFonts w:hint="default" w:ascii="Times New Roman" w:hAnsi="Times New Roman" w:cs="Times New Roman"/>
          <w:sz w:val="24"/>
        </w:rPr>
      </w:pPr>
      <w:r>
        <w:rPr>
          <w:rFonts w:hint="default" w:ascii="Times New Roman" w:hAnsi="Times New Roman" w:cs="Times New Roman"/>
          <w:sz w:val="24"/>
        </w:rPr>
        <w:t>——增加了使用信息测量方法，修改了安全标志的测量方法（见6.1</w:t>
      </w:r>
      <w:r>
        <w:rPr>
          <w:rFonts w:hint="default" w:ascii="Times New Roman" w:hAnsi="Times New Roman" w:cs="Times New Roman"/>
          <w:sz w:val="24"/>
          <w:lang w:val="en-US" w:eastAsia="zh-CN"/>
        </w:rPr>
        <w:t>5</w:t>
      </w:r>
      <w:r>
        <w:rPr>
          <w:rFonts w:hint="default" w:ascii="Times New Roman" w:hAnsi="Times New Roman" w:cs="Times New Roman"/>
          <w:sz w:val="24"/>
        </w:rPr>
        <w:t>，2008年版第6章）；</w:t>
      </w:r>
    </w:p>
    <w:p>
      <w:pPr>
        <w:pStyle w:val="22"/>
        <w:spacing w:line="360" w:lineRule="auto"/>
        <w:ind w:firstLine="480"/>
        <w:rPr>
          <w:rFonts w:hint="default" w:ascii="Times New Roman" w:hAnsi="Times New Roman" w:cs="Times New Roman"/>
          <w:sz w:val="24"/>
        </w:rPr>
      </w:pPr>
      <w:r>
        <w:rPr>
          <w:rFonts w:hint="default" w:ascii="Times New Roman" w:hAnsi="Times New Roman" w:cs="Times New Roman"/>
          <w:sz w:val="24"/>
        </w:rPr>
        <w:t>——增加了三轮汽车用安全标志的规范性要求（见附录A）；</w:t>
      </w:r>
    </w:p>
    <w:p>
      <w:pPr>
        <w:pStyle w:val="22"/>
        <w:spacing w:line="360" w:lineRule="auto"/>
        <w:ind w:firstLine="480"/>
        <w:rPr>
          <w:rFonts w:hint="default" w:ascii="Times New Roman" w:hAnsi="Times New Roman" w:cs="Times New Roman"/>
          <w:sz w:val="24"/>
        </w:rPr>
      </w:pPr>
      <w:r>
        <w:rPr>
          <w:rFonts w:hint="default" w:ascii="Times New Roman" w:hAnsi="Times New Roman" w:cs="Times New Roman"/>
          <w:sz w:val="24"/>
        </w:rPr>
        <w:t>——增加了气压系统制动响应时间测量方法（附录B）。</w:t>
      </w:r>
    </w:p>
    <w:p>
      <w:pPr>
        <w:spacing w:before="156" w:beforeLines="50" w:after="156" w:afterLines="50" w:line="360" w:lineRule="auto"/>
        <w:ind w:firstLine="472" w:firstLineChars="196"/>
        <w:rPr>
          <w:rFonts w:hint="eastAsia" w:ascii="宋体" w:hAnsi="宋体" w:cs="宋体"/>
          <w:b/>
          <w:kern w:val="0"/>
          <w:sz w:val="24"/>
          <w:lang w:val="en-US" w:eastAsia="zh-CN"/>
        </w:rPr>
      </w:pPr>
      <w:r>
        <w:rPr>
          <w:rFonts w:hint="eastAsia" w:ascii="宋体" w:hAnsi="宋体" w:cs="宋体"/>
          <w:b/>
          <w:kern w:val="0"/>
          <w:sz w:val="24"/>
          <w:lang w:val="en-US" w:eastAsia="zh-CN"/>
        </w:rPr>
        <w:t>三、与有关法律、行政法规和其他强制性标准的关系，配套推荐性标准的制定情况</w:t>
      </w:r>
    </w:p>
    <w:p>
      <w:pPr>
        <w:pStyle w:val="11"/>
        <w:shd w:val="clear" w:color="auto" w:fill="FFFFFF"/>
        <w:spacing w:before="0" w:beforeAutospacing="0" w:after="0" w:afterAutospacing="0" w:line="360" w:lineRule="auto"/>
        <w:ind w:firstLine="480" w:firstLineChars="200"/>
        <w:rPr>
          <w:rFonts w:cs="Courier New" w:asciiTheme="minorEastAsia" w:hAnsiTheme="minorEastAsia" w:eastAsiaTheme="minorEastAsia"/>
          <w:kern w:val="0"/>
          <w:sz w:val="24"/>
          <w:szCs w:val="24"/>
          <w:lang w:val="en-US" w:eastAsia="zh-CN" w:bidi="ar-SA"/>
        </w:rPr>
      </w:pPr>
      <w:r>
        <w:rPr>
          <w:rFonts w:hint="eastAsia" w:cs="Courier New" w:asciiTheme="minorEastAsia" w:hAnsiTheme="minorEastAsia" w:eastAsiaTheme="minorEastAsia"/>
          <w:kern w:val="0"/>
          <w:sz w:val="24"/>
          <w:szCs w:val="24"/>
          <w:lang w:val="en-US" w:eastAsia="zh-CN" w:bidi="ar-SA"/>
        </w:rPr>
        <w:t>目前，三轮汽车领域内现行有效标准74项，其中强制性国家标准4项，推荐性国家标准38项,推荐性行业标准32项。按照国务院《深化标准化工作改革方案》的要求，三轮汽车标委会自2016年来认真梳理了三轮汽车领域的强制性标准，严格按照《深化标准化工作改革方案》整合精简强制性标准的要求，严格考量强制性国家标准是否限定在保障人身健康和生命财产安全、国家安全、生态环境安全和满足社会经济管理基本要求的范围之内，并对部分强制性标准进行了推荐性转化，同时向强制性标准提出单位工信部提出了整合建议。</w:t>
      </w:r>
    </w:p>
    <w:p>
      <w:pPr>
        <w:spacing w:line="360" w:lineRule="auto"/>
        <w:ind w:firstLine="480"/>
        <w:rPr>
          <w:rFonts w:ascii="宋体" w:hAnsi="宋体"/>
          <w:sz w:val="24"/>
        </w:rPr>
      </w:pPr>
      <w:r>
        <w:rPr>
          <w:rFonts w:ascii="宋体" w:hAnsi="宋体" w:cs="宋体"/>
          <w:kern w:val="0"/>
          <w:sz w:val="24"/>
        </w:rPr>
        <w:t>本标准属于</w:t>
      </w:r>
      <w:r>
        <w:rPr>
          <w:rFonts w:hint="eastAsia" w:ascii="宋体" w:hAnsi="宋体" w:cs="宋体"/>
          <w:kern w:val="0"/>
          <w:sz w:val="24"/>
        </w:rPr>
        <w:t>低速汽车标准体系，</w:t>
      </w:r>
      <w:r>
        <w:rPr>
          <w:rFonts w:hint="eastAsia" w:ascii="宋体" w:hAnsi="宋体"/>
          <w:sz w:val="24"/>
        </w:rPr>
        <w:t>三轮汽车</w:t>
      </w:r>
      <w:r>
        <w:rPr>
          <w:rFonts w:hint="eastAsia" w:ascii="宋体" w:hAnsi="宋体" w:cs="宋体"/>
          <w:kern w:val="0"/>
          <w:sz w:val="24"/>
        </w:rPr>
        <w:t>标准子体系</w:t>
      </w:r>
      <w:r>
        <w:rPr>
          <w:rFonts w:ascii="宋体" w:hAnsi="宋体" w:cs="宋体"/>
          <w:kern w:val="0"/>
          <w:sz w:val="24"/>
        </w:rPr>
        <w:t>。</w:t>
      </w:r>
      <w:r>
        <w:rPr>
          <w:rFonts w:hint="eastAsia" w:ascii="宋体" w:hAnsi="宋体"/>
          <w:sz w:val="24"/>
        </w:rPr>
        <w:t>本标准编写过程中参考了现行法律、法规和强制性标准的有关内容。产品的安全要求与相关国家强制性标准保持一致，以保护用户的人身财产安全。标准所涉及的内容与国家的现行法律、法规和强制性标准能协调一致。</w:t>
      </w:r>
    </w:p>
    <w:p>
      <w:pPr>
        <w:pStyle w:val="11"/>
        <w:shd w:val="clear" w:color="auto" w:fill="FFFFFF"/>
        <w:spacing w:before="0" w:beforeAutospacing="0" w:after="0" w:afterAutospacing="0" w:line="360" w:lineRule="auto"/>
        <w:ind w:firstLine="480" w:firstLineChars="200"/>
        <w:rPr>
          <w:rFonts w:cs="Courier New" w:asciiTheme="minorEastAsia" w:hAnsiTheme="minorEastAsia" w:eastAsiaTheme="minorEastAsia"/>
          <w:kern w:val="0"/>
          <w:sz w:val="24"/>
          <w:szCs w:val="24"/>
          <w:lang w:val="en-US" w:eastAsia="zh-CN" w:bidi="ar-SA"/>
        </w:rPr>
      </w:pPr>
      <w:r>
        <w:rPr>
          <w:rFonts w:hint="eastAsia" w:cs="Courier New" w:asciiTheme="minorEastAsia" w:hAnsiTheme="minorEastAsia" w:eastAsiaTheme="minorEastAsia"/>
          <w:kern w:val="0"/>
          <w:sz w:val="24"/>
          <w:szCs w:val="24"/>
          <w:lang w:val="en-US" w:eastAsia="zh-CN" w:bidi="ar-SA"/>
        </w:rPr>
        <w:t>三轮汽车标准化工作以行业需求为导向，以国家政策措施为依据，按照预定规划的三轮汽车标准体系框架，结合我国国情，已按照计划搭建了三轮汽车标准体系框架。近年已完成了GB/T 24945-2021《三轮汽车  通用技术条件》、</w:t>
      </w:r>
      <w:r>
        <w:rPr>
          <w:rFonts w:hint="eastAsia" w:cs="Courier New" w:asciiTheme="minorEastAsia" w:hAnsiTheme="minorEastAsia" w:eastAsiaTheme="minorEastAsia"/>
          <w:kern w:val="0"/>
          <w:sz w:val="24"/>
          <w:szCs w:val="24"/>
          <w:lang w:val="en-US" w:eastAsia="zh-CN" w:bidi="ar-SA"/>
        </w:rPr>
        <w:fldChar w:fldCharType="begin"/>
      </w:r>
      <w:r>
        <w:rPr>
          <w:rFonts w:hint="eastAsia" w:cs="Courier New" w:asciiTheme="minorEastAsia" w:hAnsiTheme="minorEastAsia" w:eastAsiaTheme="minorEastAsia"/>
          <w:kern w:val="0"/>
          <w:sz w:val="24"/>
          <w:szCs w:val="24"/>
          <w:lang w:val="en-US" w:eastAsia="zh-CN" w:bidi="ar-SA"/>
        </w:rPr>
        <w:instrText xml:space="preserve"> HYPERLINK "file:///C:\\Users\\zq\\Desktop\\低速汽车标委会2019年考核自评报告\\2019年低速汽车标委会考核自评报告最终稿（2019.6.25）\\附件2：标准体系建设与维护证明材料\\低速汽车标准\\GB%2023931-2009-T%20三轮汽车%20试验方法.pdf" </w:instrText>
      </w:r>
      <w:r>
        <w:rPr>
          <w:rFonts w:hint="eastAsia" w:cs="Courier New" w:asciiTheme="minorEastAsia" w:hAnsiTheme="minorEastAsia" w:eastAsiaTheme="minorEastAsia"/>
          <w:kern w:val="0"/>
          <w:sz w:val="24"/>
          <w:szCs w:val="24"/>
          <w:lang w:val="en-US" w:eastAsia="zh-CN" w:bidi="ar-SA"/>
        </w:rPr>
        <w:fldChar w:fldCharType="separate"/>
      </w:r>
      <w:r>
        <w:rPr>
          <w:rFonts w:hint="eastAsia" w:cs="Courier New" w:asciiTheme="minorEastAsia" w:hAnsiTheme="minorEastAsia" w:eastAsiaTheme="minorEastAsia"/>
          <w:kern w:val="0"/>
          <w:sz w:val="24"/>
          <w:szCs w:val="24"/>
          <w:lang w:val="en-US" w:eastAsia="zh-CN" w:bidi="ar-SA"/>
        </w:rPr>
        <w:t>GB/T 23931-2021</w:t>
      </w:r>
      <w:r>
        <w:rPr>
          <w:rFonts w:hint="eastAsia" w:cs="Courier New" w:asciiTheme="minorEastAsia" w:hAnsiTheme="minorEastAsia" w:eastAsiaTheme="minorEastAsia"/>
          <w:kern w:val="0"/>
          <w:sz w:val="24"/>
          <w:szCs w:val="24"/>
          <w:lang w:val="en-US" w:eastAsia="zh-CN" w:bidi="ar-SA"/>
        </w:rPr>
        <w:fldChar w:fldCharType="end"/>
      </w:r>
      <w:r>
        <w:rPr>
          <w:rFonts w:hint="eastAsia" w:cs="Courier New" w:asciiTheme="minorEastAsia" w:hAnsiTheme="minorEastAsia" w:eastAsiaTheme="minorEastAsia"/>
          <w:kern w:val="0"/>
          <w:sz w:val="24"/>
          <w:szCs w:val="24"/>
          <w:lang w:val="en-US" w:eastAsia="zh-CN" w:bidi="ar-SA"/>
        </w:rPr>
        <w:t>《三轮汽车  试验方法》、GB/T 23920-2022《低速汽车 最高车速测定方法》等与强制性标准配套的标准标准研制，三轮汽车领域内的现有标准对建立和完善三轮汽车标准体系，对加强和引导三轮汽车整车及其零部件行业的管理，促进三轮汽车整车产品及其零部件产品安全、技术水平、可靠性水平的提高，规范三轮汽车产品有序发展，提供企业的生产管理以及整车和零部件行业提供技术支持和检测依据，推进三轮汽车行业的整体产品改造和技术升级，淘汰落后、低水平的产品发挥了重要作用。</w:t>
      </w:r>
    </w:p>
    <w:p>
      <w:pPr>
        <w:spacing w:line="360" w:lineRule="auto"/>
        <w:ind w:firstLine="480"/>
        <w:rPr>
          <w:rFonts w:hint="eastAsia" w:cs="Arial" w:asciiTheme="minorEastAsia" w:hAnsiTheme="minorEastAsia" w:eastAsiaTheme="minorEastAsia"/>
          <w:sz w:val="24"/>
          <w:szCs w:val="24"/>
        </w:rPr>
      </w:pPr>
      <w:r>
        <w:rPr>
          <w:rFonts w:hint="eastAsia" w:ascii="Arial" w:hAnsi="Arial" w:cs="Arial"/>
          <w:sz w:val="24"/>
          <w:szCs w:val="24"/>
        </w:rPr>
        <w:t>本标准与本领域相关现行强制性标准</w:t>
      </w:r>
      <w:r>
        <w:rPr>
          <w:rFonts w:hint="eastAsia" w:cs="Arial" w:asciiTheme="minorEastAsia" w:hAnsiTheme="minorEastAsia" w:eastAsiaTheme="minorEastAsia"/>
          <w:sz w:val="24"/>
          <w:szCs w:val="24"/>
        </w:rPr>
        <w:t>之间的关系如下图所示。</w:t>
      </w:r>
    </w:p>
    <w:p>
      <w:pPr>
        <w:spacing w:line="360" w:lineRule="auto"/>
        <w:rPr>
          <w:rFonts w:cs="Arial" w:asciiTheme="minorEastAsia" w:hAnsiTheme="minorEastAsia" w:eastAsiaTheme="minorEastAsia"/>
          <w:sz w:val="24"/>
          <w:szCs w:val="24"/>
        </w:rPr>
      </w:pPr>
    </w:p>
    <w:p>
      <w:pPr>
        <w:snapToGrid w:val="0"/>
        <w:spacing w:before="156" w:beforeLines="50" w:after="156" w:afterLines="50" w:line="360" w:lineRule="auto"/>
        <w:ind w:firstLine="480" w:firstLineChars="200"/>
        <w:jc w:val="left"/>
        <w:rPr>
          <w:rFonts w:hint="eastAsia" w:ascii="宋体" w:hAnsi="宋体"/>
          <w:b/>
          <w:kern w:val="0"/>
          <w:sz w:val="24"/>
        </w:rPr>
      </w:pPr>
      <w:r>
        <w:rPr>
          <w:rFonts w:ascii="宋体" w:hAnsi="宋体" w:cs="宋体"/>
          <w:kern w:val="0"/>
          <w:sz w:val="24"/>
          <w:szCs w:val="24"/>
        </w:rPr>
        <w:drawing>
          <wp:inline distT="0" distB="0" distL="0" distR="0">
            <wp:extent cx="4916805" cy="2912745"/>
            <wp:effectExtent l="0" t="0" r="17145"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916805" cy="2912745"/>
                    </a:xfrm>
                    <a:prstGeom prst="rect">
                      <a:avLst/>
                    </a:prstGeom>
                    <a:noFill/>
                    <a:ln>
                      <a:noFill/>
                    </a:ln>
                  </pic:spPr>
                </pic:pic>
              </a:graphicData>
            </a:graphic>
          </wp:inline>
        </w:drawing>
      </w:r>
    </w:p>
    <w:p>
      <w:pPr>
        <w:adjustRightInd w:val="0"/>
        <w:snapToGrid w:val="0"/>
        <w:spacing w:before="100" w:beforeAutospacing="1" w:line="360" w:lineRule="auto"/>
        <w:ind w:firstLine="482" w:firstLineChars="200"/>
        <w:jc w:val="left"/>
        <w:rPr>
          <w:rFonts w:hint="eastAsia" w:ascii="宋体" w:hAnsi="宋体"/>
          <w:b/>
          <w:kern w:val="0"/>
          <w:sz w:val="24"/>
        </w:rPr>
      </w:pPr>
    </w:p>
    <w:p>
      <w:pPr>
        <w:spacing w:before="156" w:beforeLines="50" w:after="156" w:afterLines="50" w:line="360" w:lineRule="auto"/>
        <w:ind w:firstLine="472" w:firstLineChars="196"/>
        <w:rPr>
          <w:rFonts w:hint="eastAsia" w:ascii="宋体" w:hAnsi="宋体" w:cs="宋体"/>
          <w:b/>
          <w:kern w:val="0"/>
          <w:sz w:val="24"/>
          <w:lang w:val="en-US" w:eastAsia="zh-CN"/>
        </w:rPr>
      </w:pPr>
      <w:r>
        <w:rPr>
          <w:rFonts w:hint="eastAsia" w:ascii="宋体" w:hAnsi="宋体" w:cs="宋体"/>
          <w:b/>
          <w:kern w:val="0"/>
          <w:sz w:val="24"/>
          <w:lang w:val="en-US" w:eastAsia="zh-CN"/>
        </w:rPr>
        <w:t>四、与国际标准化组织、其他国家或者地区有关法律法规和标准的比对分析</w:t>
      </w:r>
    </w:p>
    <w:p>
      <w:pPr>
        <w:spacing w:line="360" w:lineRule="auto"/>
        <w:ind w:firstLine="480"/>
        <w:rPr>
          <w:rFonts w:hint="eastAsia" w:cs="Courier New" w:asciiTheme="minorEastAsia" w:hAnsiTheme="minorEastAsia" w:eastAsiaTheme="minorEastAsia"/>
          <w:kern w:val="0"/>
          <w:sz w:val="24"/>
          <w:szCs w:val="24"/>
          <w:lang w:val="en-US" w:eastAsia="zh-CN" w:bidi="ar-SA"/>
        </w:rPr>
      </w:pPr>
      <w:r>
        <w:rPr>
          <w:rFonts w:hint="eastAsia" w:cs="Courier New" w:asciiTheme="minorEastAsia" w:hAnsiTheme="minorEastAsia" w:eastAsiaTheme="minorEastAsia"/>
          <w:kern w:val="0"/>
          <w:sz w:val="24"/>
          <w:szCs w:val="24"/>
          <w:lang w:val="en-US" w:eastAsia="zh-CN" w:bidi="ar-SA"/>
        </w:rPr>
        <w:t>三轮汽车是中国特色的道路运输农用车辆产品，国际上没有类似于国内的三轮汽车产品，无对应国际标准或国外先进标准，也没有对应的国际标准化组织。</w:t>
      </w:r>
    </w:p>
    <w:p>
      <w:pPr>
        <w:spacing w:line="360" w:lineRule="auto"/>
        <w:ind w:firstLine="480"/>
        <w:rPr>
          <w:rFonts w:hint="eastAsia" w:cs="Courier New" w:asciiTheme="minorEastAsia" w:hAnsiTheme="minorEastAsia" w:eastAsiaTheme="minorEastAsia"/>
          <w:kern w:val="0"/>
          <w:sz w:val="24"/>
          <w:szCs w:val="24"/>
          <w:lang w:val="en-US" w:eastAsia="zh-CN" w:bidi="ar-SA"/>
        </w:rPr>
      </w:pPr>
      <w:r>
        <w:rPr>
          <w:rFonts w:hint="eastAsia" w:cs="Courier New" w:asciiTheme="minorEastAsia" w:hAnsiTheme="minorEastAsia" w:eastAsiaTheme="minorEastAsia"/>
          <w:kern w:val="0"/>
          <w:sz w:val="24"/>
          <w:szCs w:val="24"/>
          <w:lang w:val="en-US" w:eastAsia="zh-CN" w:bidi="ar-SA"/>
        </w:rPr>
        <w:t>国外低速车辆与国内低速车辆产品使用环境、产品种类、使用途径有较大差别，大多是在娱乐车辆的基础上派生出来的一类产品，主要是在满足个人交通需要或者娱乐需要，使用场所集中在社区、娱乐场所、厂区等非道路使用，并且是载人代步的车辆产品，基本是低速电动汽车。在欧洲、美国有针对低速车辆的法规，该法规规定的低速车辆主要是城市中用于社区内、日常生活及低龄人员使用的车辆，以满足人员出行需要为主（个人交通车辆）。美国低速电动车的相关法律规定:车速限制在25 英里／小时（约40 公里／小时），可上路行驶，但不可以上高速。只要DOT认证，充电器需UL认证。韩国制订了限制速度在60km/h以下的车辆管理法案。法案规定在高尔夫球场用的低速汽车除了高速公路或汽车专用道路外，在城区道路和2车线地方道路大都可以行驶上路。因此，国外低速车辆安全方面需要满足最基本的要求，部分涉及安全结构、装置的配置及性能要求依照汽车的相关法规，但法规少于通常的车辆产品，产品的结构及部件要求也较通常的汽车产品低。</w:t>
      </w:r>
      <w:r>
        <w:rPr>
          <w:rFonts w:hint="eastAsia" w:ascii="宋体" w:hAnsi="宋体" w:cs="宋体"/>
          <w:kern w:val="0"/>
          <w:sz w:val="24"/>
        </w:rPr>
        <w:t>本标准在制定中无可参照参考的国外样品。</w:t>
      </w:r>
      <w:r>
        <w:rPr>
          <w:rFonts w:hint="eastAsia" w:cs="Courier New" w:asciiTheme="minorEastAsia" w:hAnsiTheme="minorEastAsia" w:eastAsiaTheme="minorEastAsia"/>
          <w:kern w:val="0"/>
          <w:sz w:val="24"/>
          <w:szCs w:val="24"/>
          <w:lang w:val="en-US" w:eastAsia="zh-CN" w:bidi="ar-SA"/>
        </w:rPr>
        <w:t>制定我国的三轮汽车强制性标准只能依靠自主研制。</w:t>
      </w:r>
    </w:p>
    <w:p>
      <w:pPr>
        <w:autoSpaceDE w:val="0"/>
        <w:autoSpaceDN w:val="0"/>
        <w:adjustRightInd w:val="0"/>
        <w:spacing w:line="360" w:lineRule="auto"/>
        <w:ind w:firstLine="480" w:firstLineChars="200"/>
        <w:jc w:val="left"/>
        <w:rPr>
          <w:rFonts w:hint="eastAsia" w:cs="Courier New" w:asciiTheme="minorEastAsia" w:hAnsiTheme="minorEastAsia" w:eastAsiaTheme="minorEastAsia"/>
          <w:kern w:val="0"/>
          <w:sz w:val="24"/>
          <w:szCs w:val="24"/>
          <w:lang w:val="en-US" w:eastAsia="zh-CN" w:bidi="ar-SA"/>
        </w:rPr>
      </w:pPr>
      <w:r>
        <w:rPr>
          <w:rFonts w:hint="eastAsia" w:ascii="Arial" w:cs="Arial"/>
          <w:sz w:val="24"/>
        </w:rPr>
        <w:t>本标准为国内先进水平。</w:t>
      </w:r>
    </w:p>
    <w:p>
      <w:pPr>
        <w:spacing w:before="156" w:beforeLines="50" w:after="156" w:afterLines="50" w:line="360" w:lineRule="auto"/>
        <w:ind w:firstLine="472" w:firstLineChars="196"/>
        <w:rPr>
          <w:rFonts w:hint="eastAsia" w:ascii="宋体" w:hAnsi="宋体" w:cs="宋体"/>
          <w:b/>
          <w:kern w:val="0"/>
          <w:sz w:val="24"/>
          <w:lang w:val="en-US" w:eastAsia="zh-CN"/>
        </w:rPr>
      </w:pPr>
      <w:r>
        <w:rPr>
          <w:rFonts w:hint="eastAsia" w:ascii="宋体" w:hAnsi="宋体" w:cs="宋体"/>
          <w:b/>
          <w:kern w:val="0"/>
          <w:sz w:val="24"/>
          <w:lang w:val="en-US" w:eastAsia="zh-CN"/>
        </w:rPr>
        <w:t>五、重大分歧意见的处理过程、处理意见和依据</w:t>
      </w:r>
    </w:p>
    <w:p>
      <w:pPr>
        <w:spacing w:line="360" w:lineRule="auto"/>
        <w:ind w:firstLine="480"/>
        <w:rPr>
          <w:rFonts w:hint="eastAsia" w:cs="Courier New" w:asciiTheme="minorEastAsia" w:hAnsiTheme="minorEastAsia" w:eastAsiaTheme="minorEastAsia"/>
          <w:kern w:val="0"/>
          <w:sz w:val="24"/>
          <w:szCs w:val="24"/>
          <w:lang w:val="en-US" w:eastAsia="zh-CN" w:bidi="ar-SA"/>
        </w:rPr>
      </w:pPr>
      <w:r>
        <w:rPr>
          <w:rFonts w:hint="eastAsia" w:cs="Courier New" w:asciiTheme="minorEastAsia" w:hAnsiTheme="minorEastAsia" w:eastAsiaTheme="minorEastAsia"/>
          <w:kern w:val="0"/>
          <w:sz w:val="24"/>
          <w:szCs w:val="24"/>
          <w:lang w:val="en-US" w:eastAsia="zh-CN" w:bidi="ar-SA"/>
        </w:rPr>
        <w:t>本标准结合我国国情制定，通过会议、函调等方式普遍征求了生产企业、检验检测机构、行业协会等各方面的意见，标准的内容得到大家的认可，无重大分歧意见。</w:t>
      </w:r>
    </w:p>
    <w:p>
      <w:pPr>
        <w:spacing w:before="156" w:beforeLines="50" w:after="156" w:afterLines="50" w:line="360" w:lineRule="auto"/>
        <w:ind w:firstLine="472" w:firstLineChars="196"/>
        <w:rPr>
          <w:rFonts w:hint="eastAsia" w:ascii="宋体" w:hAnsi="宋体" w:cs="宋体"/>
          <w:b/>
          <w:kern w:val="0"/>
          <w:sz w:val="24"/>
          <w:lang w:val="en-US" w:eastAsia="zh-CN"/>
        </w:rPr>
      </w:pPr>
      <w:r>
        <w:rPr>
          <w:rFonts w:hint="eastAsia" w:ascii="宋体" w:hAnsi="宋体" w:cs="宋体"/>
          <w:b/>
          <w:kern w:val="0"/>
          <w:sz w:val="24"/>
          <w:lang w:val="en-US" w:eastAsia="zh-CN"/>
        </w:rPr>
        <w:t>六、对强制性国家标准自发布日期至实施日期之间的过渡期的建议及理由</w:t>
      </w:r>
    </w:p>
    <w:p>
      <w:pPr>
        <w:spacing w:line="360" w:lineRule="auto"/>
        <w:ind w:firstLine="480"/>
        <w:rPr>
          <w:rFonts w:hint="eastAsia" w:ascii="宋体" w:hAnsi="宋体" w:cs="宋体"/>
          <w:b/>
          <w:kern w:val="0"/>
          <w:sz w:val="24"/>
          <w:lang w:val="en-US" w:eastAsia="zh-CN"/>
        </w:rPr>
      </w:pPr>
      <w:r>
        <w:rPr>
          <w:rFonts w:hint="eastAsia"/>
          <w:sz w:val="24"/>
          <w:lang w:val="en-US" w:eastAsia="zh-CN"/>
        </w:rPr>
        <w:t>考虑到本次修订在产品安全防护、主要尺寸、安全性能等方面技术内容的增加和更改</w:t>
      </w:r>
      <w:r>
        <w:rPr>
          <w:rFonts w:hint="eastAsia"/>
          <w:sz w:val="24"/>
        </w:rPr>
        <w:t>，并在产品研发、制造、流通、使用、产品质量监督抽查等质量控制工作中使用该标准</w:t>
      </w:r>
      <w:r>
        <w:rPr>
          <w:rFonts w:hint="eastAsia"/>
          <w:sz w:val="24"/>
          <w:lang w:val="en-US" w:eastAsia="zh-CN"/>
        </w:rPr>
        <w:t>也需要有一定的适应时间，</w:t>
      </w:r>
      <w:r>
        <w:rPr>
          <w:rFonts w:hint="eastAsia" w:ascii="宋体" w:hAnsi="宋体"/>
          <w:sz w:val="24"/>
        </w:rPr>
        <w:t>建议本标准</w:t>
      </w:r>
      <w:r>
        <w:rPr>
          <w:rFonts w:hint="eastAsia"/>
          <w:sz w:val="24"/>
          <w:lang w:val="en-US" w:eastAsia="zh-CN"/>
        </w:rPr>
        <w:t>过渡期为</w:t>
      </w:r>
      <w:r>
        <w:rPr>
          <w:rFonts w:hint="eastAsia" w:ascii="宋体" w:hAnsi="宋体"/>
          <w:sz w:val="24"/>
        </w:rPr>
        <w:t>批准发布</w:t>
      </w:r>
      <w:r>
        <w:rPr>
          <w:rFonts w:hint="eastAsia" w:ascii="宋体" w:hAnsi="宋体"/>
          <w:sz w:val="24"/>
          <w:lang w:val="en-US" w:eastAsia="zh-CN"/>
        </w:rPr>
        <w:t>12</w:t>
      </w:r>
      <w:r>
        <w:rPr>
          <w:rFonts w:hint="eastAsia" w:ascii="宋体" w:hAnsi="宋体"/>
          <w:sz w:val="24"/>
        </w:rPr>
        <w:t>个月后实施。</w:t>
      </w:r>
    </w:p>
    <w:p>
      <w:pPr>
        <w:spacing w:before="156" w:beforeLines="50" w:after="156" w:afterLines="50" w:line="360" w:lineRule="auto"/>
        <w:ind w:firstLine="472" w:firstLineChars="196"/>
        <w:rPr>
          <w:rFonts w:hint="eastAsia" w:ascii="宋体" w:hAnsi="宋体" w:cs="宋体"/>
          <w:b/>
          <w:kern w:val="0"/>
          <w:sz w:val="24"/>
          <w:lang w:val="en-US" w:eastAsia="zh-CN"/>
        </w:rPr>
      </w:pPr>
      <w:r>
        <w:rPr>
          <w:rFonts w:hint="eastAsia" w:ascii="宋体" w:hAnsi="宋体" w:cs="宋体"/>
          <w:b/>
          <w:kern w:val="0"/>
          <w:sz w:val="24"/>
          <w:lang w:val="en-US" w:eastAsia="zh-CN"/>
        </w:rPr>
        <w:t>七、强制性国家标准的实施监督管理部门、以及对违反强制性国家标准行为进行处理的有关法律、行政法规、部门规章依据</w:t>
      </w:r>
    </w:p>
    <w:p>
      <w:pPr>
        <w:spacing w:line="360" w:lineRule="auto"/>
        <w:ind w:firstLine="480"/>
        <w:rPr>
          <w:rFonts w:hint="default" w:eastAsia="宋体"/>
          <w:b/>
          <w:sz w:val="24"/>
          <w:szCs w:val="24"/>
          <w:lang w:val="en-US" w:eastAsia="zh-CN"/>
        </w:rPr>
      </w:pPr>
      <w:r>
        <w:rPr>
          <w:rFonts w:hint="eastAsia"/>
          <w:sz w:val="24"/>
          <w:szCs w:val="24"/>
          <w:lang w:val="en-US" w:eastAsia="zh-CN"/>
        </w:rPr>
        <w:t>本强制性国家标准的</w:t>
      </w:r>
      <w:r>
        <w:rPr>
          <w:rFonts w:hint="eastAsia" w:cs="Courier New" w:asciiTheme="minorEastAsia" w:hAnsiTheme="minorEastAsia" w:eastAsiaTheme="minorEastAsia"/>
          <w:kern w:val="0"/>
          <w:sz w:val="24"/>
          <w:szCs w:val="24"/>
          <w:lang w:val="en-US" w:eastAsia="zh-CN" w:bidi="ar-SA"/>
        </w:rPr>
        <w:t>实施</w:t>
      </w:r>
      <w:r>
        <w:rPr>
          <w:rFonts w:hint="eastAsia"/>
          <w:sz w:val="24"/>
          <w:szCs w:val="24"/>
          <w:lang w:val="en-US" w:eastAsia="zh-CN"/>
        </w:rPr>
        <w:t>监督管理部门包括：</w:t>
      </w:r>
      <w:r>
        <w:rPr>
          <w:rFonts w:hint="eastAsia"/>
          <w:sz w:val="24"/>
          <w:szCs w:val="24"/>
        </w:rPr>
        <w:t>国家市场监督管理总局</w:t>
      </w:r>
      <w:r>
        <w:rPr>
          <w:rFonts w:hint="eastAsia"/>
          <w:sz w:val="24"/>
          <w:szCs w:val="24"/>
          <w:lang w:eastAsia="zh-CN"/>
        </w:rPr>
        <w:t>、</w:t>
      </w:r>
      <w:r>
        <w:rPr>
          <w:rFonts w:hint="eastAsia"/>
          <w:sz w:val="24"/>
          <w:szCs w:val="24"/>
        </w:rPr>
        <w:t>工业和</w:t>
      </w:r>
      <w:r>
        <w:rPr>
          <w:sz w:val="24"/>
          <w:szCs w:val="24"/>
        </w:rPr>
        <w:t>信息化部</w:t>
      </w:r>
      <w:r>
        <w:rPr>
          <w:rFonts w:hint="eastAsia"/>
          <w:sz w:val="24"/>
          <w:szCs w:val="24"/>
          <w:lang w:eastAsia="zh-CN"/>
        </w:rPr>
        <w:t>。</w:t>
      </w:r>
      <w:r>
        <w:rPr>
          <w:rFonts w:hint="eastAsia"/>
          <w:sz w:val="24"/>
          <w:szCs w:val="24"/>
          <w:lang w:val="en-US" w:eastAsia="zh-CN"/>
        </w:rPr>
        <w:t>相关法律、部门规章如下：</w:t>
      </w:r>
    </w:p>
    <w:p>
      <w:pPr>
        <w:spacing w:line="360" w:lineRule="auto"/>
        <w:ind w:firstLine="482" w:firstLineChars="200"/>
        <w:rPr>
          <w:sz w:val="24"/>
          <w:szCs w:val="24"/>
        </w:rPr>
      </w:pPr>
      <w:r>
        <w:rPr>
          <w:rFonts w:hint="eastAsia"/>
          <w:b/>
          <w:sz w:val="24"/>
          <w:szCs w:val="24"/>
          <w:lang w:val="en-US" w:eastAsia="zh-CN"/>
        </w:rPr>
        <w:t>1、</w:t>
      </w:r>
      <w:r>
        <w:rPr>
          <w:b/>
          <w:sz w:val="24"/>
          <w:szCs w:val="24"/>
        </w:rPr>
        <w:t>《中华人民共和国产品质量法》</w:t>
      </w:r>
      <w:r>
        <w:rPr>
          <w:sz w:val="24"/>
          <w:szCs w:val="24"/>
        </w:rPr>
        <w:t>（中华人民共和国主席令第二十二号）。</w:t>
      </w:r>
      <w:r>
        <w:rPr>
          <w:rFonts w:hint="eastAsia"/>
          <w:sz w:val="24"/>
          <w:szCs w:val="24"/>
        </w:rPr>
        <w:t>本标准涉及的实施监督管理部门包括：国家市场监督管理总局。</w:t>
      </w:r>
    </w:p>
    <w:p>
      <w:pPr>
        <w:spacing w:line="360" w:lineRule="auto"/>
        <w:ind w:firstLine="480"/>
        <w:rPr>
          <w:sz w:val="24"/>
          <w:szCs w:val="24"/>
        </w:rPr>
      </w:pPr>
      <w:r>
        <w:rPr>
          <w:rFonts w:hint="eastAsia"/>
          <w:sz w:val="24"/>
          <w:szCs w:val="24"/>
        </w:rPr>
        <w:t>涉及本强制行标准处罚的条款包括第四十九条。</w:t>
      </w:r>
    </w:p>
    <w:p>
      <w:pPr>
        <w:spacing w:line="360" w:lineRule="auto"/>
        <w:ind w:firstLine="480"/>
        <w:rPr>
          <w:sz w:val="24"/>
          <w:szCs w:val="24"/>
        </w:rPr>
      </w:pPr>
      <w:r>
        <w:rPr>
          <w:rFonts w:hint="eastAsia"/>
          <w:b/>
          <w:sz w:val="24"/>
          <w:szCs w:val="24"/>
        </w:rPr>
        <w:t>第四十九条规定：</w:t>
      </w:r>
      <w:r>
        <w:rPr>
          <w:sz w:val="24"/>
          <w:szCs w:val="24"/>
        </w:rPr>
        <w:t>生产、销售不符合保障人体健康和人身、财产安全的国家标准、行业标准的产品的，责令</w:t>
      </w:r>
      <w:r>
        <w:rPr>
          <w:rFonts w:hint="eastAsia" w:cs="Courier New" w:asciiTheme="minorEastAsia" w:hAnsiTheme="minorEastAsia" w:eastAsiaTheme="minorEastAsia"/>
          <w:kern w:val="0"/>
          <w:sz w:val="24"/>
          <w:szCs w:val="24"/>
          <w:lang w:val="en-US" w:eastAsia="zh-CN" w:bidi="ar-SA"/>
        </w:rPr>
        <w:t>停止</w:t>
      </w:r>
      <w:r>
        <w:rPr>
          <w:sz w:val="24"/>
          <w:szCs w:val="24"/>
        </w:rPr>
        <w:t>生产、销售，没收违法生产、销售的产品，并处违法生产、销售产品（包括已售出和未售出的产品，下同）货值金额等值以上三倍以下的罚款；有违法所得的，并处没收违法所得；情节严重的，吊销营业执照；构成犯罪的，依法追究刑事责任。</w:t>
      </w:r>
    </w:p>
    <w:p>
      <w:pPr>
        <w:spacing w:line="360" w:lineRule="auto"/>
        <w:ind w:firstLine="480"/>
        <w:rPr>
          <w:sz w:val="24"/>
          <w:szCs w:val="24"/>
        </w:rPr>
      </w:pPr>
      <w:r>
        <w:rPr>
          <w:rFonts w:hint="eastAsia"/>
          <w:b/>
          <w:sz w:val="24"/>
          <w:szCs w:val="24"/>
          <w:lang w:val="en-US" w:eastAsia="zh-CN"/>
        </w:rPr>
        <w:t>2、</w:t>
      </w:r>
      <w:r>
        <w:rPr>
          <w:b/>
          <w:sz w:val="24"/>
          <w:szCs w:val="24"/>
        </w:rPr>
        <w:t>《中华人民共和国道路交通安全法》</w:t>
      </w:r>
      <w:r>
        <w:rPr>
          <w:sz w:val="24"/>
          <w:szCs w:val="24"/>
        </w:rPr>
        <w:t>。</w:t>
      </w:r>
      <w:r>
        <w:rPr>
          <w:rFonts w:hint="eastAsia"/>
          <w:sz w:val="24"/>
          <w:szCs w:val="24"/>
        </w:rPr>
        <w:t>本标准涉及的实施监督管理部门包括：工业和</w:t>
      </w:r>
      <w:r>
        <w:rPr>
          <w:sz w:val="24"/>
          <w:szCs w:val="24"/>
        </w:rPr>
        <w:t>信息化部、</w:t>
      </w:r>
      <w:r>
        <w:rPr>
          <w:rFonts w:hint="eastAsia"/>
          <w:sz w:val="24"/>
          <w:szCs w:val="24"/>
        </w:rPr>
        <w:t>国家市场监督管理总局。</w:t>
      </w:r>
    </w:p>
    <w:p>
      <w:pPr>
        <w:spacing w:line="360" w:lineRule="auto"/>
        <w:ind w:firstLine="480" w:firstLineChars="200"/>
        <w:rPr>
          <w:sz w:val="24"/>
          <w:szCs w:val="24"/>
        </w:rPr>
      </w:pPr>
      <w:r>
        <w:rPr>
          <w:rFonts w:hint="eastAsia"/>
          <w:sz w:val="24"/>
          <w:szCs w:val="24"/>
        </w:rPr>
        <w:t>涉及本强制行标准处罚的条款包括第一百零三条。</w:t>
      </w:r>
    </w:p>
    <w:p>
      <w:pPr>
        <w:spacing w:line="360" w:lineRule="auto"/>
        <w:ind w:firstLine="480"/>
        <w:rPr>
          <w:sz w:val="24"/>
          <w:szCs w:val="24"/>
        </w:rPr>
      </w:pPr>
      <w:r>
        <w:rPr>
          <w:rFonts w:hint="eastAsia"/>
          <w:b/>
          <w:sz w:val="24"/>
          <w:szCs w:val="24"/>
        </w:rPr>
        <w:t>第一百零三条规定：</w:t>
      </w:r>
      <w:r>
        <w:rPr>
          <w:sz w:val="24"/>
          <w:szCs w:val="24"/>
        </w:rPr>
        <w:t>国家机动车产品主管部门未按照机动车国家安全技术标准严格审查，许可不合格机动车型</w:t>
      </w:r>
      <w:r>
        <w:rPr>
          <w:rFonts w:hint="eastAsia" w:cs="Courier New" w:asciiTheme="minorEastAsia" w:hAnsiTheme="minorEastAsia" w:eastAsiaTheme="minorEastAsia"/>
          <w:kern w:val="0"/>
          <w:sz w:val="24"/>
          <w:szCs w:val="24"/>
          <w:lang w:val="en-US" w:eastAsia="zh-CN" w:bidi="ar-SA"/>
        </w:rPr>
        <w:t>投入</w:t>
      </w:r>
      <w:r>
        <w:rPr>
          <w:sz w:val="24"/>
          <w:szCs w:val="24"/>
        </w:rPr>
        <w:t>生产的，对负有责任的主管人员和其他直接责任人员给予降级或者撤职的行政处分。机动车生产企业经国家机动车产品主管部门许可生产的机动车型，不执行机动车国家安全技术标准或者不严格进行机动车成品质量检验，致使质量不合格的机动车出厂销售的，由质量技术监督部门依照《中华人民共和国产品质量法》的有关规定给予处罚。擅自生产、销售未经国家机动车产品主管部门许可生产的机动车型的，没收非法生产、销售的机动车成品及配件，可以并处非法产品价值三倍以上五倍以下罚款；有营业执照的，由工商行政管理部门吊销营业执照，没有营业执照的，予以查封。生产、销售拼装的机动车或者生产、销售擅自改装的机动车的，依照本条第三款的规定处罚。有本条第二款、第三款、第四款所列违法行为，生产或者销售不符合机动车国家安全技术标准的机动车，构成犯罪的，依法追究刑事责任。</w:t>
      </w:r>
    </w:p>
    <w:p>
      <w:pPr>
        <w:spacing w:line="360" w:lineRule="auto"/>
        <w:ind w:firstLine="480"/>
        <w:rPr>
          <w:sz w:val="24"/>
          <w:szCs w:val="24"/>
        </w:rPr>
      </w:pPr>
      <w:r>
        <w:rPr>
          <w:rFonts w:hint="eastAsia"/>
          <w:b/>
          <w:sz w:val="24"/>
          <w:szCs w:val="24"/>
          <w:lang w:val="en-US" w:eastAsia="zh-CN"/>
        </w:rPr>
        <w:t>3、</w:t>
      </w:r>
      <w:r>
        <w:rPr>
          <w:b/>
          <w:sz w:val="24"/>
          <w:szCs w:val="24"/>
        </w:rPr>
        <w:t>《道路机动车辆生产企业及产品准入管理办法》</w:t>
      </w:r>
      <w:r>
        <w:rPr>
          <w:sz w:val="24"/>
          <w:szCs w:val="24"/>
        </w:rPr>
        <w:t>（</w:t>
      </w:r>
      <w:r>
        <w:rPr>
          <w:rFonts w:hint="eastAsia"/>
          <w:sz w:val="24"/>
          <w:szCs w:val="24"/>
        </w:rPr>
        <w:t>中华人民共和国工业和信息化部令第50号</w:t>
      </w:r>
      <w:r>
        <w:rPr>
          <w:sz w:val="24"/>
          <w:szCs w:val="24"/>
        </w:rPr>
        <w:t>）。</w:t>
      </w:r>
      <w:r>
        <w:rPr>
          <w:rFonts w:hint="eastAsia"/>
          <w:sz w:val="24"/>
          <w:szCs w:val="24"/>
        </w:rPr>
        <w:t>本标准涉及的实施监督管理部门包括：工业和</w:t>
      </w:r>
      <w:r>
        <w:rPr>
          <w:sz w:val="24"/>
          <w:szCs w:val="24"/>
        </w:rPr>
        <w:t>信息化部、</w:t>
      </w:r>
      <w:r>
        <w:rPr>
          <w:rFonts w:hint="eastAsia"/>
          <w:sz w:val="24"/>
          <w:szCs w:val="24"/>
        </w:rPr>
        <w:t>国家市场监督管理总局。</w:t>
      </w:r>
    </w:p>
    <w:p>
      <w:pPr>
        <w:spacing w:line="360" w:lineRule="auto"/>
        <w:ind w:firstLine="480"/>
        <w:rPr>
          <w:b/>
          <w:sz w:val="24"/>
          <w:szCs w:val="24"/>
        </w:rPr>
      </w:pPr>
      <w:r>
        <w:rPr>
          <w:rFonts w:hint="eastAsia"/>
          <w:sz w:val="24"/>
          <w:szCs w:val="24"/>
        </w:rPr>
        <w:t>涉及本强制行标准处罚的条款</w:t>
      </w:r>
      <w:r>
        <w:rPr>
          <w:rFonts w:hint="eastAsia" w:cs="Courier New" w:asciiTheme="minorEastAsia" w:hAnsiTheme="minorEastAsia" w:eastAsiaTheme="minorEastAsia"/>
          <w:kern w:val="0"/>
          <w:sz w:val="24"/>
          <w:szCs w:val="24"/>
          <w:lang w:val="en-US" w:eastAsia="zh-CN" w:bidi="ar-SA"/>
        </w:rPr>
        <w:t>包括</w:t>
      </w:r>
      <w:r>
        <w:rPr>
          <w:rFonts w:hint="eastAsia"/>
          <w:sz w:val="24"/>
          <w:szCs w:val="24"/>
        </w:rPr>
        <w:t>第六条、第三十九条。</w:t>
      </w:r>
    </w:p>
    <w:p>
      <w:pPr>
        <w:spacing w:line="360" w:lineRule="auto"/>
        <w:ind w:firstLine="480"/>
        <w:rPr>
          <w:sz w:val="24"/>
          <w:szCs w:val="24"/>
        </w:rPr>
      </w:pPr>
      <w:r>
        <w:rPr>
          <w:rFonts w:hint="eastAsia"/>
          <w:b/>
          <w:sz w:val="24"/>
          <w:szCs w:val="24"/>
        </w:rPr>
        <w:t>第六条第二款规定</w:t>
      </w:r>
      <w:r>
        <w:rPr>
          <w:b/>
          <w:sz w:val="24"/>
          <w:szCs w:val="24"/>
        </w:rPr>
        <w:t>：</w:t>
      </w:r>
      <w:r>
        <w:rPr>
          <w:sz w:val="24"/>
          <w:szCs w:val="24"/>
        </w:rPr>
        <w:t>生产的道路机动车辆产品能够满足安全、环保、节能、防盗等技术标准以及工业和信息化部制定发布的安全技术条件。</w:t>
      </w:r>
    </w:p>
    <w:p>
      <w:pPr>
        <w:spacing w:line="360" w:lineRule="auto"/>
        <w:ind w:firstLine="480"/>
        <w:rPr>
          <w:sz w:val="24"/>
          <w:szCs w:val="24"/>
        </w:rPr>
      </w:pPr>
      <w:r>
        <w:rPr>
          <w:rFonts w:hint="eastAsia"/>
          <w:b/>
          <w:sz w:val="24"/>
          <w:szCs w:val="24"/>
        </w:rPr>
        <w:t>第三十九条规定：</w:t>
      </w:r>
      <w:r>
        <w:rPr>
          <w:sz w:val="24"/>
          <w:szCs w:val="24"/>
        </w:rPr>
        <w:t>违反本办法规定，未经准入擅自生产、销售道路机动车辆产品的，工业和信息化部应当依照《中华人民共和国道路交通安全法》第一百零三条第三款的规定予以处罚。</w:t>
      </w:r>
    </w:p>
    <w:p>
      <w:pPr>
        <w:spacing w:before="156" w:beforeLines="50" w:after="156" w:afterLines="50" w:line="360" w:lineRule="auto"/>
        <w:ind w:firstLine="472" w:firstLineChars="196"/>
        <w:rPr>
          <w:rFonts w:hint="eastAsia" w:ascii="宋体" w:hAnsi="宋体" w:cs="宋体"/>
          <w:b/>
          <w:kern w:val="0"/>
          <w:sz w:val="24"/>
          <w:lang w:val="en-US" w:eastAsia="zh-CN"/>
        </w:rPr>
      </w:pPr>
      <w:r>
        <w:rPr>
          <w:rFonts w:hint="eastAsia" w:ascii="宋体" w:hAnsi="宋体" w:cs="宋体"/>
          <w:b/>
          <w:kern w:val="0"/>
          <w:sz w:val="24"/>
          <w:lang w:val="en-US" w:eastAsia="zh-CN"/>
        </w:rPr>
        <w:t>八、是否需要对外通报的建议及理由</w:t>
      </w:r>
    </w:p>
    <w:p>
      <w:pPr>
        <w:spacing w:line="360" w:lineRule="auto"/>
        <w:ind w:firstLine="480"/>
        <w:rPr>
          <w:rFonts w:hint="default" w:ascii="Times New Roman" w:hAnsi="Times New Roman"/>
          <w:kern w:val="0"/>
          <w:sz w:val="24"/>
          <w:szCs w:val="24"/>
          <w:lang w:val="en-US" w:eastAsia="zh-CN"/>
        </w:rPr>
      </w:pPr>
      <w:r>
        <w:rPr>
          <w:rFonts w:hint="eastAsia" w:ascii="Times New Roman" w:hAnsi="Times New Roman"/>
          <w:kern w:val="0"/>
          <w:sz w:val="24"/>
          <w:szCs w:val="24"/>
          <w:lang w:val="en-US" w:eastAsia="zh-CN"/>
        </w:rPr>
        <w:t>考虑到每年有一定量的三轮</w:t>
      </w:r>
      <w:r>
        <w:rPr>
          <w:rFonts w:hint="eastAsia" w:cs="Courier New" w:asciiTheme="minorEastAsia" w:hAnsiTheme="minorEastAsia" w:eastAsiaTheme="minorEastAsia"/>
          <w:kern w:val="0"/>
          <w:sz w:val="24"/>
          <w:szCs w:val="24"/>
          <w:lang w:val="en-US" w:eastAsia="zh-CN" w:bidi="ar-SA"/>
        </w:rPr>
        <w:t>汽车</w:t>
      </w:r>
      <w:r>
        <w:rPr>
          <w:rFonts w:hint="eastAsia" w:ascii="Times New Roman" w:hAnsi="Times New Roman"/>
          <w:kern w:val="0"/>
          <w:sz w:val="24"/>
          <w:szCs w:val="24"/>
          <w:lang w:val="en-US" w:eastAsia="zh-CN"/>
        </w:rPr>
        <w:t>销往东南亚、非洲，建议对外通报本标准的相关内容。</w:t>
      </w:r>
    </w:p>
    <w:p>
      <w:pPr>
        <w:spacing w:before="156" w:beforeLines="50" w:after="156" w:afterLines="50" w:line="360" w:lineRule="auto"/>
        <w:ind w:firstLine="472" w:firstLineChars="196"/>
        <w:rPr>
          <w:rFonts w:hint="eastAsia" w:ascii="宋体" w:hAnsi="宋体" w:cs="宋体"/>
          <w:b/>
          <w:kern w:val="0"/>
          <w:sz w:val="24"/>
          <w:lang w:val="en-US" w:eastAsia="zh-CN"/>
        </w:rPr>
      </w:pPr>
      <w:r>
        <w:rPr>
          <w:rFonts w:hint="eastAsia" w:ascii="宋体" w:hAnsi="宋体" w:cs="宋体"/>
          <w:b/>
          <w:kern w:val="0"/>
          <w:sz w:val="24"/>
          <w:lang w:val="en-US" w:eastAsia="zh-CN"/>
        </w:rPr>
        <w:t xml:space="preserve">九、废止现行有关标准的建议  </w:t>
      </w:r>
    </w:p>
    <w:p>
      <w:pPr>
        <w:spacing w:line="360" w:lineRule="auto"/>
        <w:ind w:firstLine="480"/>
        <w:rPr>
          <w:rFonts w:ascii="宋体" w:hAnsi="宋体" w:cs="宋体"/>
          <w:color w:val="000000"/>
          <w:kern w:val="0"/>
          <w:sz w:val="24"/>
        </w:rPr>
      </w:pPr>
      <w:r>
        <w:rPr>
          <w:rFonts w:hint="eastAsia" w:ascii="宋体" w:hAnsi="宋体"/>
          <w:sz w:val="24"/>
        </w:rPr>
        <w:t>建议自</w:t>
      </w:r>
      <w:r>
        <w:rPr>
          <w:rFonts w:hint="eastAsia" w:ascii="宋体" w:hAnsi="宋体" w:cs="宋体"/>
          <w:color w:val="000000"/>
          <w:kern w:val="0"/>
          <w:sz w:val="24"/>
        </w:rPr>
        <w:t>《</w:t>
      </w:r>
      <w:r>
        <w:rPr>
          <w:rFonts w:hint="eastAsia" w:ascii="宋体" w:hAnsi="宋体"/>
          <w:sz w:val="24"/>
        </w:rPr>
        <w:t>三轮汽车  安全</w:t>
      </w:r>
      <w:r>
        <w:rPr>
          <w:rFonts w:hint="eastAsia" w:cs="Courier New" w:asciiTheme="minorEastAsia" w:hAnsiTheme="minorEastAsia" w:eastAsiaTheme="minorEastAsia"/>
          <w:kern w:val="0"/>
          <w:sz w:val="24"/>
          <w:szCs w:val="24"/>
          <w:lang w:val="en-US" w:eastAsia="zh-CN" w:bidi="ar-SA"/>
        </w:rPr>
        <w:t>技术</w:t>
      </w:r>
      <w:r>
        <w:rPr>
          <w:rFonts w:hint="eastAsia" w:ascii="宋体" w:hAnsi="宋体"/>
          <w:sz w:val="24"/>
        </w:rPr>
        <w:t>规范</w:t>
      </w:r>
      <w:r>
        <w:rPr>
          <w:rFonts w:hint="eastAsia" w:ascii="宋体" w:hAnsi="宋体" w:cs="宋体"/>
          <w:color w:val="000000"/>
          <w:kern w:val="0"/>
          <w:sz w:val="24"/>
        </w:rPr>
        <w:t>》实施之日起，废止</w:t>
      </w:r>
      <w:r>
        <w:rPr>
          <w:rFonts w:ascii="宋体" w:hAnsi="宋体" w:cs="宋体"/>
          <w:color w:val="000000"/>
          <w:kern w:val="0"/>
          <w:sz w:val="24"/>
        </w:rPr>
        <w:t>GB</w:t>
      </w:r>
      <w:r>
        <w:rPr>
          <w:rFonts w:hint="eastAsia" w:ascii="宋体" w:hAnsi="宋体" w:cs="宋体"/>
          <w:color w:val="000000"/>
          <w:kern w:val="0"/>
          <w:sz w:val="24"/>
        </w:rPr>
        <w:t xml:space="preserve"> </w:t>
      </w:r>
      <w:r>
        <w:rPr>
          <w:rFonts w:ascii="宋体" w:hAnsi="宋体" w:cs="宋体"/>
          <w:color w:val="000000"/>
          <w:kern w:val="0"/>
          <w:sz w:val="24"/>
        </w:rPr>
        <w:t>18320—</w:t>
      </w:r>
      <w:r>
        <w:rPr>
          <w:rFonts w:hint="eastAsia" w:ascii="宋体" w:hAnsi="宋体" w:cs="宋体"/>
          <w:color w:val="000000"/>
          <w:kern w:val="0"/>
          <w:sz w:val="24"/>
        </w:rPr>
        <w:t>2008</w:t>
      </w:r>
      <w:r>
        <w:rPr>
          <w:rFonts w:ascii="宋体" w:hAnsi="宋体" w:cs="宋体"/>
          <w:color w:val="000000"/>
          <w:kern w:val="0"/>
          <w:sz w:val="24"/>
        </w:rPr>
        <w:t>、GB</w:t>
      </w:r>
      <w:r>
        <w:rPr>
          <w:rFonts w:hint="eastAsia" w:ascii="宋体" w:hAnsi="宋体" w:cs="宋体"/>
          <w:color w:val="000000"/>
          <w:kern w:val="0"/>
          <w:sz w:val="24"/>
        </w:rPr>
        <w:t xml:space="preserve"> </w:t>
      </w:r>
      <w:r>
        <w:rPr>
          <w:rFonts w:ascii="宋体" w:hAnsi="宋体" w:cs="宋体"/>
          <w:color w:val="000000"/>
          <w:kern w:val="0"/>
          <w:sz w:val="24"/>
        </w:rPr>
        <w:t>24943—</w:t>
      </w:r>
      <w:r>
        <w:rPr>
          <w:rFonts w:hint="eastAsia" w:ascii="宋体" w:hAnsi="宋体" w:cs="宋体"/>
          <w:color w:val="000000"/>
          <w:kern w:val="0"/>
          <w:sz w:val="24"/>
        </w:rPr>
        <w:t>2010等2项强制性国家标准。</w:t>
      </w:r>
    </w:p>
    <w:p>
      <w:pPr>
        <w:spacing w:before="156" w:beforeLines="50" w:after="156" w:afterLines="50" w:line="360" w:lineRule="auto"/>
        <w:ind w:firstLine="472" w:firstLineChars="196"/>
        <w:rPr>
          <w:rFonts w:hint="eastAsia" w:ascii="宋体" w:hAnsi="宋体" w:cs="宋体"/>
          <w:b/>
          <w:kern w:val="0"/>
          <w:sz w:val="24"/>
          <w:lang w:val="en-US" w:eastAsia="zh-CN"/>
        </w:rPr>
      </w:pPr>
      <w:r>
        <w:rPr>
          <w:rFonts w:hint="eastAsia" w:ascii="宋体" w:hAnsi="宋体" w:cs="宋体"/>
          <w:b/>
          <w:kern w:val="0"/>
          <w:sz w:val="24"/>
          <w:lang w:val="en-US" w:eastAsia="zh-CN"/>
        </w:rPr>
        <w:t>十、标准中涉及专利的情况</w:t>
      </w:r>
    </w:p>
    <w:p>
      <w:pPr>
        <w:spacing w:line="360" w:lineRule="auto"/>
        <w:ind w:firstLine="480"/>
        <w:rPr>
          <w:rFonts w:ascii="Times New Roman" w:hAnsi="Times New Roman"/>
          <w:kern w:val="0"/>
          <w:sz w:val="24"/>
          <w:szCs w:val="24"/>
        </w:rPr>
      </w:pPr>
      <w:r>
        <w:rPr>
          <w:rFonts w:hint="eastAsia" w:ascii="Times New Roman" w:hAnsi="Times New Roman"/>
          <w:kern w:val="0"/>
          <w:sz w:val="24"/>
          <w:szCs w:val="24"/>
        </w:rPr>
        <w:t>本标准不涉及专利</w:t>
      </w:r>
      <w:r>
        <w:rPr>
          <w:rFonts w:hint="eastAsia" w:cs="Courier New" w:asciiTheme="minorEastAsia" w:hAnsiTheme="minorEastAsia" w:eastAsiaTheme="minorEastAsia"/>
          <w:kern w:val="0"/>
          <w:sz w:val="24"/>
          <w:szCs w:val="24"/>
          <w:lang w:val="en-US" w:eastAsia="zh-CN" w:bidi="ar-SA"/>
        </w:rPr>
        <w:t>问题</w:t>
      </w:r>
      <w:r>
        <w:rPr>
          <w:rFonts w:hint="eastAsia" w:ascii="Times New Roman" w:hAnsi="Times New Roman"/>
          <w:kern w:val="0"/>
          <w:sz w:val="24"/>
          <w:szCs w:val="24"/>
        </w:rPr>
        <w:t>。</w:t>
      </w:r>
    </w:p>
    <w:p>
      <w:pPr>
        <w:spacing w:before="156" w:beforeLines="50" w:after="156" w:afterLines="50" w:line="360" w:lineRule="auto"/>
        <w:ind w:firstLine="472" w:firstLineChars="196"/>
        <w:rPr>
          <w:rFonts w:hint="eastAsia" w:ascii="宋体" w:hAnsi="宋体" w:cs="宋体"/>
          <w:b/>
          <w:kern w:val="0"/>
          <w:sz w:val="24"/>
          <w:lang w:val="en-US" w:eastAsia="zh-CN"/>
        </w:rPr>
      </w:pPr>
      <w:r>
        <w:rPr>
          <w:rFonts w:hint="eastAsia" w:ascii="宋体" w:hAnsi="宋体" w:cs="宋体"/>
          <w:b/>
          <w:kern w:val="0"/>
          <w:sz w:val="24"/>
          <w:lang w:val="en-US" w:eastAsia="zh-CN"/>
        </w:rPr>
        <w:t>十一、强制性国家标准所涉及的产品、过程或者服务目录</w:t>
      </w:r>
    </w:p>
    <w:p>
      <w:pPr>
        <w:spacing w:line="360" w:lineRule="auto"/>
        <w:ind w:firstLine="480"/>
        <w:rPr>
          <w:rFonts w:hint="eastAsia" w:ascii="宋体" w:hAnsi="宋体" w:cs="宋体"/>
          <w:b/>
          <w:kern w:val="0"/>
          <w:sz w:val="24"/>
        </w:rPr>
      </w:pPr>
      <w:r>
        <w:rPr>
          <w:rFonts w:hint="eastAsia"/>
          <w:sz w:val="24"/>
          <w:szCs w:val="24"/>
        </w:rPr>
        <w:t>本强制性国家标准涉及的产品为三轮汽车产品。</w:t>
      </w:r>
    </w:p>
    <w:p>
      <w:pPr>
        <w:spacing w:before="156" w:beforeLines="50" w:after="156" w:afterLines="50" w:line="360" w:lineRule="auto"/>
        <w:ind w:firstLine="472" w:firstLineChars="196"/>
        <w:rPr>
          <w:rFonts w:hint="eastAsia" w:ascii="宋体" w:hAnsi="宋体" w:cs="宋体"/>
          <w:b/>
          <w:kern w:val="0"/>
          <w:sz w:val="24"/>
          <w:lang w:val="en-US" w:eastAsia="zh-CN"/>
        </w:rPr>
      </w:pPr>
      <w:r>
        <w:rPr>
          <w:rFonts w:hint="eastAsia" w:ascii="宋体" w:hAnsi="宋体" w:cs="宋体"/>
          <w:b/>
          <w:kern w:val="0"/>
          <w:sz w:val="24"/>
          <w:lang w:val="en-US" w:eastAsia="zh-CN"/>
        </w:rPr>
        <w:t>十二、其他予以说明的事项</w:t>
      </w:r>
    </w:p>
    <w:p>
      <w:pPr>
        <w:spacing w:line="360" w:lineRule="auto"/>
        <w:ind w:firstLine="480"/>
        <w:rPr>
          <w:rFonts w:hAnsi="宋体"/>
          <w:sz w:val="24"/>
        </w:rPr>
      </w:pPr>
      <w:r>
        <w:rPr>
          <w:rFonts w:hint="eastAsia" w:hAnsi="宋体"/>
          <w:sz w:val="24"/>
        </w:rPr>
        <w:t>按照《市场监管总局关于进一步加强国家质检中心管理的意见》（国市监检测发〔2021〕16 号）、《市场监管总局办公厅关于国家产品质量检验检测中心及其所在法人单位资质认定等有关事项的通知》（市监检测发〔2021〕55号）的要求，</w:t>
      </w:r>
      <w:r>
        <w:rPr>
          <w:rFonts w:hint="eastAsia" w:hAnsi="宋体"/>
          <w:sz w:val="24"/>
          <w:lang w:val="en-US" w:eastAsia="zh-CN"/>
        </w:rPr>
        <w:t>主要起草单位</w:t>
      </w:r>
      <w:r>
        <w:rPr>
          <w:rFonts w:hint="eastAsia" w:hAnsi="宋体"/>
          <w:sz w:val="24"/>
        </w:rPr>
        <w:t>国家农机具质量监督检验中心于2021年10月换发资质认定证书，名称变更为“国家农机具质量检验检测中心”。</w:t>
      </w:r>
    </w:p>
    <w:sectPr>
      <w:footerReference r:id="rId3" w:type="default"/>
      <w:footerReference r:id="rId4" w:type="even"/>
      <w:pgSz w:w="11906" w:h="16838"/>
      <w:pgMar w:top="1440" w:right="1644"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Cambria Math">
    <w:panose1 w:val="02040503050406030204"/>
    <w:charset w:val="00"/>
    <w:family w:val="roman"/>
    <w:pitch w:val="default"/>
    <w:sig w:usb0="E00006FF" w:usb1="420024FF" w:usb2="02000000" w:usb3="00000000" w:csb0="2000019F" w:csb1="00000000"/>
  </w:font>
  <w:font w:name="MS Mincho">
    <w:altName w:val="Segoe Print"/>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6"/>
      </w:rPr>
    </w:pPr>
    <w:r>
      <w:rPr>
        <w:rStyle w:val="16"/>
      </w:rPr>
      <w:fldChar w:fldCharType="begin"/>
    </w:r>
    <w:r>
      <w:rPr>
        <w:rStyle w:val="16"/>
      </w:rPr>
      <w:instrText xml:space="preserve">PAGE  </w:instrText>
    </w:r>
    <w:r>
      <w:rPr>
        <w:rStyle w:val="16"/>
      </w:rPr>
      <w:fldChar w:fldCharType="separate"/>
    </w:r>
    <w:r>
      <w:rPr>
        <w:rStyle w:val="16"/>
      </w:rPr>
      <w:t>11</w:t>
    </w:r>
    <w:r>
      <w:rPr>
        <w:rStyle w:val="16"/>
      </w:rPr>
      <w:fldChar w:fldCharType="end"/>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6"/>
      </w:rPr>
    </w:pPr>
    <w:r>
      <w:rPr>
        <w:rStyle w:val="16"/>
      </w:rPr>
      <w:fldChar w:fldCharType="begin"/>
    </w:r>
    <w:r>
      <w:rPr>
        <w:rStyle w:val="16"/>
      </w:rPr>
      <w:instrText xml:space="preserve">PAGE  </w:instrText>
    </w:r>
    <w:r>
      <w:rPr>
        <w:rStyle w:val="16"/>
      </w:rPr>
      <w:fldChar w:fldCharType="separate"/>
    </w:r>
    <w:r>
      <w:rPr>
        <w:rStyle w:val="16"/>
      </w:rPr>
      <w:t>2</w:t>
    </w:r>
    <w:r>
      <w:rPr>
        <w:rStyle w:val="16"/>
      </w:rPr>
      <w:fldChar w:fldCharType="end"/>
    </w:r>
  </w:p>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746472"/>
    <w:multiLevelType w:val="multilevel"/>
    <w:tmpl w:val="05746472"/>
    <w:lvl w:ilvl="0" w:tentative="0">
      <w:start w:val="1"/>
      <w:numFmt w:val="decimal"/>
      <w:suff w:val="nothing"/>
      <w:lvlText w:val="%1  "/>
      <w:lvlJc w:val="left"/>
      <w:pPr>
        <w:ind w:left="432" w:hanging="432"/>
      </w:pPr>
      <w:rPr>
        <w:rFonts w:hint="eastAsia" w:ascii="黑体" w:eastAsia="黑体"/>
        <w:b w:val="0"/>
        <w:i w:val="0"/>
        <w:sz w:val="21"/>
        <w:szCs w:val="21"/>
      </w:rPr>
    </w:lvl>
    <w:lvl w:ilvl="1" w:tentative="0">
      <w:start w:val="1"/>
      <w:numFmt w:val="decimal"/>
      <w:suff w:val="nothing"/>
      <w:lvlText w:val="%1.%2  "/>
      <w:lvlJc w:val="left"/>
      <w:pPr>
        <w:ind w:left="2703" w:hanging="576"/>
      </w:pPr>
      <w:rPr>
        <w:rFonts w:hint="eastAsia" w:ascii="黑体" w:eastAsia="黑体"/>
        <w:b w:val="0"/>
        <w:i w:val="0"/>
        <w:sz w:val="21"/>
        <w:szCs w:val="21"/>
      </w:rPr>
    </w:lvl>
    <w:lvl w:ilvl="2" w:tentative="0">
      <w:start w:val="1"/>
      <w:numFmt w:val="decimal"/>
      <w:suff w:val="nothing"/>
      <w:lvlText w:val="%1.%2.%3  "/>
      <w:lvlJc w:val="left"/>
      <w:pPr>
        <w:ind w:left="1004" w:hanging="720"/>
      </w:pPr>
      <w:rPr>
        <w:rFonts w:hint="eastAsia" w:ascii="黑体" w:eastAsia="黑体"/>
        <w:b w:val="0"/>
        <w:i w:val="0"/>
        <w:sz w:val="21"/>
        <w:szCs w:val="21"/>
      </w:rPr>
    </w:lvl>
    <w:lvl w:ilvl="3" w:tentative="0">
      <w:start w:val="1"/>
      <w:numFmt w:val="decimal"/>
      <w:pStyle w:val="3"/>
      <w:suff w:val="nothing"/>
      <w:lvlText w:val="%1.%2.%3.%4  "/>
      <w:lvlJc w:val="left"/>
      <w:pPr>
        <w:ind w:left="1573" w:hanging="864"/>
      </w:pPr>
      <w:rPr>
        <w:rFonts w:hint="eastAsia" w:ascii="黑体" w:eastAsia="黑体"/>
        <w:b w:val="0"/>
        <w:i w:val="0"/>
        <w:sz w:val="21"/>
        <w:szCs w:val="21"/>
      </w:rPr>
    </w:lvl>
    <w:lvl w:ilvl="4" w:tentative="0">
      <w:start w:val="1"/>
      <w:numFmt w:val="decimal"/>
      <w:suff w:val="nothing"/>
      <w:lvlText w:val="%1.%2.%3.%4.%5  "/>
      <w:lvlJc w:val="left"/>
      <w:pPr>
        <w:ind w:left="5261" w:hanging="1008"/>
      </w:pPr>
      <w:rPr>
        <w:rFonts w:hint="eastAsia" w:ascii="黑体" w:eastAsia="黑体"/>
        <w:b w:val="0"/>
        <w:i w:val="0"/>
        <w:sz w:val="21"/>
        <w:szCs w:val="21"/>
      </w:rPr>
    </w:lvl>
    <w:lvl w:ilvl="5" w:tentative="0">
      <w:start w:val="1"/>
      <w:numFmt w:val="decimal"/>
      <w:suff w:val="nothing"/>
      <w:lvlText w:val="%1.%2.%3.%4.%5.%6  "/>
      <w:lvlJc w:val="left"/>
      <w:pPr>
        <w:ind w:left="726" w:hanging="1152"/>
      </w:pPr>
      <w:rPr>
        <w:rFonts w:hint="eastAsia" w:ascii="黑体" w:eastAsia="黑体"/>
        <w:b w:val="0"/>
        <w:i w:val="0"/>
        <w:sz w:val="21"/>
        <w:szCs w:val="21"/>
      </w:rPr>
    </w:lvl>
    <w:lvl w:ilvl="6" w:tentative="0">
      <w:start w:val="1"/>
      <w:numFmt w:val="decimal"/>
      <w:suff w:val="nothing"/>
      <w:lvlText w:val="%1.%2.%3.%4.%5.%6.%7  "/>
      <w:lvlJc w:val="left"/>
      <w:pPr>
        <w:ind w:left="870" w:hanging="1296"/>
      </w:pPr>
      <w:rPr>
        <w:rFonts w:hint="eastAsia" w:ascii="黑体" w:eastAsia="黑体"/>
        <w:b w:val="0"/>
        <w:i w:val="0"/>
        <w:sz w:val="21"/>
        <w:szCs w:val="21"/>
      </w:rPr>
    </w:lvl>
    <w:lvl w:ilvl="7" w:tentative="0">
      <w:start w:val="1"/>
      <w:numFmt w:val="decimal"/>
      <w:suff w:val="nothing"/>
      <w:lvlText w:val="%1.%2.%3.%4.%5.%6.%7.%8  "/>
      <w:lvlJc w:val="left"/>
      <w:pPr>
        <w:ind w:left="1014" w:hanging="1440"/>
      </w:pPr>
      <w:rPr>
        <w:rFonts w:hint="eastAsia" w:ascii="黑体" w:eastAsia="黑体"/>
        <w:b w:val="0"/>
        <w:i w:val="0"/>
        <w:sz w:val="21"/>
        <w:szCs w:val="21"/>
      </w:rPr>
    </w:lvl>
    <w:lvl w:ilvl="8" w:tentative="0">
      <w:start w:val="1"/>
      <w:numFmt w:val="decimal"/>
      <w:suff w:val="nothing"/>
      <w:lvlText w:val="%1.%2.%3.%4.%5.%6.%7.%8.%9  "/>
      <w:lvlJc w:val="left"/>
      <w:pPr>
        <w:ind w:left="1158" w:hanging="1584"/>
      </w:pPr>
      <w:rPr>
        <w:rFonts w:hint="eastAsia" w:ascii="黑体" w:eastAsia="黑体"/>
        <w:b w:val="0"/>
        <w:i w:val="0"/>
        <w:sz w:val="21"/>
        <w:szCs w:val="21"/>
      </w:rPr>
    </w:lvl>
  </w:abstractNum>
  <w:abstractNum w:abstractNumId="1">
    <w:nsid w:val="1FC91163"/>
    <w:multiLevelType w:val="multilevel"/>
    <w:tmpl w:val="1FC91163"/>
    <w:lvl w:ilvl="0" w:tentative="0">
      <w:start w:val="1"/>
      <w:numFmt w:val="decimal"/>
      <w:pStyle w:val="25"/>
      <w:suff w:val="nothing"/>
      <w:lvlText w:val="%1　"/>
      <w:lvlJc w:val="left"/>
      <w:rPr>
        <w:rFonts w:hint="eastAsia" w:ascii="黑体" w:hAnsi="Times New Roman" w:eastAsia="黑体" w:cs="Times New Roman"/>
        <w:b w:val="0"/>
        <w:i w:val="0"/>
        <w:sz w:val="21"/>
        <w:szCs w:val="21"/>
      </w:rPr>
    </w:lvl>
    <w:lvl w:ilvl="1" w:tentative="0">
      <w:start w:val="1"/>
      <w:numFmt w:val="decimal"/>
      <w:pStyle w:val="24"/>
      <w:suff w:val="nothing"/>
      <w:lvlText w:val="%1.%2　"/>
      <w:lvlJc w:val="left"/>
      <w:rPr>
        <w:rFonts w:hint="eastAsia" w:ascii="黑体" w:hAnsi="Times New Roman" w:eastAsia="黑体" w:cs="Times New Roman"/>
        <w:b/>
        <w:bCs w:val="0"/>
        <w:i w:val="0"/>
        <w:iCs w:val="0"/>
        <w:caps w:val="0"/>
        <w:strike w:val="0"/>
        <w:dstrike w:val="0"/>
        <w:vanish w:val="0"/>
        <w:color w:val="FF0000"/>
        <w:spacing w:val="0"/>
        <w:kern w:val="0"/>
        <w:position w:val="0"/>
        <w:sz w:val="21"/>
        <w:szCs w:val="21"/>
        <w:u w:val="none"/>
        <w:vertAlign w:val="baseline"/>
      </w:rPr>
    </w:lvl>
    <w:lvl w:ilvl="2" w:tentative="0">
      <w:start w:val="1"/>
      <w:numFmt w:val="decimal"/>
      <w:pStyle w:val="26"/>
      <w:suff w:val="nothing"/>
      <w:lvlText w:val="%1.%2.%3　"/>
      <w:lvlJc w:val="left"/>
      <w:rPr>
        <w:rFonts w:hint="eastAsia" w:ascii="黑体" w:hAnsi="Times New Roman" w:eastAsia="黑体" w:cs="Times New Roman"/>
        <w:b/>
        <w:i w:val="0"/>
        <w:sz w:val="21"/>
      </w:rPr>
    </w:lvl>
    <w:lvl w:ilvl="3" w:tentative="0">
      <w:start w:val="1"/>
      <w:numFmt w:val="decimal"/>
      <w:suff w:val="nothing"/>
      <w:lvlText w:val="%1.%2.%3.%4　"/>
      <w:lvlJc w:val="left"/>
      <w:rPr>
        <w:rFonts w:hint="eastAsia" w:ascii="黑体" w:hAnsi="Times New Roman" w:eastAsia="黑体" w:cs="Times New Roman"/>
        <w:b w:val="0"/>
        <w:i w:val="0"/>
        <w:sz w:val="21"/>
      </w:rPr>
    </w:lvl>
    <w:lvl w:ilvl="4" w:tentative="0">
      <w:start w:val="1"/>
      <w:numFmt w:val="decimal"/>
      <w:suff w:val="nothing"/>
      <w:lvlText w:val="%1.%2.%3.%4.%5　"/>
      <w:lvlJc w:val="left"/>
      <w:rPr>
        <w:rFonts w:hint="eastAsia" w:ascii="黑体" w:hAnsi="Times New Roman" w:eastAsia="黑体" w:cs="Times New Roman"/>
        <w:b w:val="0"/>
        <w:i w:val="0"/>
        <w:sz w:val="21"/>
      </w:rPr>
    </w:lvl>
    <w:lvl w:ilvl="5" w:tentative="0">
      <w:start w:val="1"/>
      <w:numFmt w:val="decimal"/>
      <w:pStyle w:val="27"/>
      <w:suff w:val="nothing"/>
      <w:lvlText w:val="%1.%2.%3.%4.%5.%6　"/>
      <w:lvlJc w:val="left"/>
      <w:rPr>
        <w:rFonts w:hint="eastAsia" w:ascii="黑体" w:hAnsi="Times New Roman" w:eastAsia="黑体" w:cs="Times New Roman"/>
        <w:b w:val="0"/>
        <w:i w:val="0"/>
        <w:sz w:val="21"/>
      </w:rPr>
    </w:lvl>
    <w:lvl w:ilvl="6" w:tentative="0">
      <w:start w:val="1"/>
      <w:numFmt w:val="decimal"/>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1NGVlMTgxODFlYzgyZTY1MDA0YjRhMTMwYWEyNmYifQ=="/>
  </w:docVars>
  <w:rsids>
    <w:rsidRoot w:val="006B3F7B"/>
    <w:rsid w:val="000044CE"/>
    <w:rsid w:val="00004FA9"/>
    <w:rsid w:val="0001280C"/>
    <w:rsid w:val="0001297D"/>
    <w:rsid w:val="00012D9B"/>
    <w:rsid w:val="00014D5C"/>
    <w:rsid w:val="000152A0"/>
    <w:rsid w:val="00016F30"/>
    <w:rsid w:val="000220F5"/>
    <w:rsid w:val="00025D7A"/>
    <w:rsid w:val="00025E5E"/>
    <w:rsid w:val="00026752"/>
    <w:rsid w:val="00034388"/>
    <w:rsid w:val="00045602"/>
    <w:rsid w:val="00051296"/>
    <w:rsid w:val="00067920"/>
    <w:rsid w:val="00071ACE"/>
    <w:rsid w:val="000849C2"/>
    <w:rsid w:val="00084A3A"/>
    <w:rsid w:val="0008698D"/>
    <w:rsid w:val="000933A1"/>
    <w:rsid w:val="0009373C"/>
    <w:rsid w:val="00095052"/>
    <w:rsid w:val="00096A7D"/>
    <w:rsid w:val="000B2AFC"/>
    <w:rsid w:val="000B342E"/>
    <w:rsid w:val="000C17F1"/>
    <w:rsid w:val="000C290C"/>
    <w:rsid w:val="000C2AF4"/>
    <w:rsid w:val="000C2FBB"/>
    <w:rsid w:val="000D0433"/>
    <w:rsid w:val="000D1968"/>
    <w:rsid w:val="000D3AD9"/>
    <w:rsid w:val="000D40DA"/>
    <w:rsid w:val="000D60BC"/>
    <w:rsid w:val="000D6D17"/>
    <w:rsid w:val="000E01A8"/>
    <w:rsid w:val="000E0855"/>
    <w:rsid w:val="000E14C0"/>
    <w:rsid w:val="000E433C"/>
    <w:rsid w:val="000E672B"/>
    <w:rsid w:val="000F65E4"/>
    <w:rsid w:val="001040F2"/>
    <w:rsid w:val="00105302"/>
    <w:rsid w:val="00106D28"/>
    <w:rsid w:val="0011086B"/>
    <w:rsid w:val="00111916"/>
    <w:rsid w:val="001127A3"/>
    <w:rsid w:val="00113520"/>
    <w:rsid w:val="00115C19"/>
    <w:rsid w:val="001224F1"/>
    <w:rsid w:val="00126BE9"/>
    <w:rsid w:val="0013302B"/>
    <w:rsid w:val="001331FE"/>
    <w:rsid w:val="00134E69"/>
    <w:rsid w:val="00136AF7"/>
    <w:rsid w:val="00147F33"/>
    <w:rsid w:val="00154EFD"/>
    <w:rsid w:val="00156333"/>
    <w:rsid w:val="00157F0E"/>
    <w:rsid w:val="00173F8E"/>
    <w:rsid w:val="00174EA1"/>
    <w:rsid w:val="0017623C"/>
    <w:rsid w:val="0017762C"/>
    <w:rsid w:val="00181573"/>
    <w:rsid w:val="00181FAC"/>
    <w:rsid w:val="001823A9"/>
    <w:rsid w:val="0018257D"/>
    <w:rsid w:val="00182D6B"/>
    <w:rsid w:val="00191D4E"/>
    <w:rsid w:val="001934EB"/>
    <w:rsid w:val="001935C9"/>
    <w:rsid w:val="001938D6"/>
    <w:rsid w:val="0019421A"/>
    <w:rsid w:val="00197FF0"/>
    <w:rsid w:val="001A4636"/>
    <w:rsid w:val="001B1AD9"/>
    <w:rsid w:val="001B600E"/>
    <w:rsid w:val="001B6BE8"/>
    <w:rsid w:val="001C02E8"/>
    <w:rsid w:val="001C49CC"/>
    <w:rsid w:val="001C7E81"/>
    <w:rsid w:val="001D3CCA"/>
    <w:rsid w:val="001E3AC7"/>
    <w:rsid w:val="001E5EE5"/>
    <w:rsid w:val="001E7485"/>
    <w:rsid w:val="001F10AA"/>
    <w:rsid w:val="001F16A9"/>
    <w:rsid w:val="00202D2D"/>
    <w:rsid w:val="002042DB"/>
    <w:rsid w:val="0021410E"/>
    <w:rsid w:val="0021734D"/>
    <w:rsid w:val="002202B2"/>
    <w:rsid w:val="002247F2"/>
    <w:rsid w:val="0022684E"/>
    <w:rsid w:val="00230303"/>
    <w:rsid w:val="002318CD"/>
    <w:rsid w:val="002507EA"/>
    <w:rsid w:val="00253126"/>
    <w:rsid w:val="00255C97"/>
    <w:rsid w:val="00256692"/>
    <w:rsid w:val="00267E48"/>
    <w:rsid w:val="00272297"/>
    <w:rsid w:val="00282932"/>
    <w:rsid w:val="0029636B"/>
    <w:rsid w:val="00297FEB"/>
    <w:rsid w:val="002A0BB1"/>
    <w:rsid w:val="002A1ABB"/>
    <w:rsid w:val="002A1D09"/>
    <w:rsid w:val="002A5054"/>
    <w:rsid w:val="002B0C96"/>
    <w:rsid w:val="002B1198"/>
    <w:rsid w:val="002B1D82"/>
    <w:rsid w:val="002B2DC6"/>
    <w:rsid w:val="002B2F41"/>
    <w:rsid w:val="002C0468"/>
    <w:rsid w:val="002C34D7"/>
    <w:rsid w:val="002D15F0"/>
    <w:rsid w:val="002D202A"/>
    <w:rsid w:val="002D2A55"/>
    <w:rsid w:val="002D3674"/>
    <w:rsid w:val="002D42F9"/>
    <w:rsid w:val="002D57BD"/>
    <w:rsid w:val="002E205D"/>
    <w:rsid w:val="002E5249"/>
    <w:rsid w:val="002E5514"/>
    <w:rsid w:val="002F2428"/>
    <w:rsid w:val="0030229E"/>
    <w:rsid w:val="0030516A"/>
    <w:rsid w:val="00305D5B"/>
    <w:rsid w:val="00306B6C"/>
    <w:rsid w:val="0031043A"/>
    <w:rsid w:val="00311D89"/>
    <w:rsid w:val="003149F2"/>
    <w:rsid w:val="00314A32"/>
    <w:rsid w:val="00331661"/>
    <w:rsid w:val="0034330B"/>
    <w:rsid w:val="00345345"/>
    <w:rsid w:val="00353195"/>
    <w:rsid w:val="00354FAB"/>
    <w:rsid w:val="00356B61"/>
    <w:rsid w:val="00360EF3"/>
    <w:rsid w:val="0037088D"/>
    <w:rsid w:val="0037413D"/>
    <w:rsid w:val="00381B72"/>
    <w:rsid w:val="00390BA9"/>
    <w:rsid w:val="0039201B"/>
    <w:rsid w:val="0039336C"/>
    <w:rsid w:val="003961F3"/>
    <w:rsid w:val="003B0118"/>
    <w:rsid w:val="003B3040"/>
    <w:rsid w:val="003B46FA"/>
    <w:rsid w:val="003B6D53"/>
    <w:rsid w:val="003B7594"/>
    <w:rsid w:val="003C3DB3"/>
    <w:rsid w:val="003D1922"/>
    <w:rsid w:val="003D26AF"/>
    <w:rsid w:val="003D50C8"/>
    <w:rsid w:val="003D5363"/>
    <w:rsid w:val="003D78E9"/>
    <w:rsid w:val="003E21E1"/>
    <w:rsid w:val="003E4859"/>
    <w:rsid w:val="003E6A92"/>
    <w:rsid w:val="003F4FDF"/>
    <w:rsid w:val="003F50BF"/>
    <w:rsid w:val="003F668E"/>
    <w:rsid w:val="004019B5"/>
    <w:rsid w:val="0040450E"/>
    <w:rsid w:val="00405A12"/>
    <w:rsid w:val="004125B5"/>
    <w:rsid w:val="00413C95"/>
    <w:rsid w:val="00422C59"/>
    <w:rsid w:val="0042399F"/>
    <w:rsid w:val="0042427E"/>
    <w:rsid w:val="00433791"/>
    <w:rsid w:val="0043700A"/>
    <w:rsid w:val="00450348"/>
    <w:rsid w:val="004522E1"/>
    <w:rsid w:val="00452E41"/>
    <w:rsid w:val="0046262F"/>
    <w:rsid w:val="00462D4F"/>
    <w:rsid w:val="00466347"/>
    <w:rsid w:val="00466DCF"/>
    <w:rsid w:val="00466DD6"/>
    <w:rsid w:val="004750C8"/>
    <w:rsid w:val="004770BD"/>
    <w:rsid w:val="004A0F45"/>
    <w:rsid w:val="004A7D23"/>
    <w:rsid w:val="004B30D8"/>
    <w:rsid w:val="004B3ADA"/>
    <w:rsid w:val="004B7F23"/>
    <w:rsid w:val="004C11E4"/>
    <w:rsid w:val="004C7D84"/>
    <w:rsid w:val="004D0CB6"/>
    <w:rsid w:val="004D55CE"/>
    <w:rsid w:val="004D607A"/>
    <w:rsid w:val="004D6FDF"/>
    <w:rsid w:val="004D7093"/>
    <w:rsid w:val="004E089B"/>
    <w:rsid w:val="004E3551"/>
    <w:rsid w:val="004F2272"/>
    <w:rsid w:val="004F52C7"/>
    <w:rsid w:val="004F6DAF"/>
    <w:rsid w:val="004F7FF9"/>
    <w:rsid w:val="00500364"/>
    <w:rsid w:val="00503D84"/>
    <w:rsid w:val="00515093"/>
    <w:rsid w:val="00516EE8"/>
    <w:rsid w:val="005256C5"/>
    <w:rsid w:val="00527334"/>
    <w:rsid w:val="00531906"/>
    <w:rsid w:val="00532A05"/>
    <w:rsid w:val="00535F52"/>
    <w:rsid w:val="00540559"/>
    <w:rsid w:val="00541226"/>
    <w:rsid w:val="0054382B"/>
    <w:rsid w:val="00544D98"/>
    <w:rsid w:val="00546C28"/>
    <w:rsid w:val="005509FB"/>
    <w:rsid w:val="005529B1"/>
    <w:rsid w:val="00557AF7"/>
    <w:rsid w:val="0056052D"/>
    <w:rsid w:val="00561DCA"/>
    <w:rsid w:val="0056317F"/>
    <w:rsid w:val="0056498A"/>
    <w:rsid w:val="00566466"/>
    <w:rsid w:val="00572797"/>
    <w:rsid w:val="0057353F"/>
    <w:rsid w:val="0057736C"/>
    <w:rsid w:val="005907D7"/>
    <w:rsid w:val="00590F59"/>
    <w:rsid w:val="00591796"/>
    <w:rsid w:val="00592A1A"/>
    <w:rsid w:val="005A0A88"/>
    <w:rsid w:val="005B4330"/>
    <w:rsid w:val="005C0103"/>
    <w:rsid w:val="005C5997"/>
    <w:rsid w:val="005D21CD"/>
    <w:rsid w:val="005E4084"/>
    <w:rsid w:val="005E4284"/>
    <w:rsid w:val="005E514A"/>
    <w:rsid w:val="005F486E"/>
    <w:rsid w:val="006030C8"/>
    <w:rsid w:val="006137DF"/>
    <w:rsid w:val="00614FBA"/>
    <w:rsid w:val="00624281"/>
    <w:rsid w:val="00630508"/>
    <w:rsid w:val="00630B74"/>
    <w:rsid w:val="006352C1"/>
    <w:rsid w:val="00637FE4"/>
    <w:rsid w:val="00640E72"/>
    <w:rsid w:val="00641642"/>
    <w:rsid w:val="006418F9"/>
    <w:rsid w:val="00643A13"/>
    <w:rsid w:val="00650999"/>
    <w:rsid w:val="00650EA3"/>
    <w:rsid w:val="006631F7"/>
    <w:rsid w:val="00667238"/>
    <w:rsid w:val="006708DE"/>
    <w:rsid w:val="00672DE5"/>
    <w:rsid w:val="006902DF"/>
    <w:rsid w:val="0069758F"/>
    <w:rsid w:val="006B07DB"/>
    <w:rsid w:val="006B3F7B"/>
    <w:rsid w:val="006B4B8B"/>
    <w:rsid w:val="006C0270"/>
    <w:rsid w:val="006C2A28"/>
    <w:rsid w:val="006D2479"/>
    <w:rsid w:val="006D2DC4"/>
    <w:rsid w:val="006D42F9"/>
    <w:rsid w:val="006D4D86"/>
    <w:rsid w:val="006D781B"/>
    <w:rsid w:val="006E0E01"/>
    <w:rsid w:val="006E211A"/>
    <w:rsid w:val="006F1391"/>
    <w:rsid w:val="006F37A0"/>
    <w:rsid w:val="00701132"/>
    <w:rsid w:val="00702FC5"/>
    <w:rsid w:val="00705849"/>
    <w:rsid w:val="00713E81"/>
    <w:rsid w:val="007162D0"/>
    <w:rsid w:val="007234F6"/>
    <w:rsid w:val="00743096"/>
    <w:rsid w:val="007502C9"/>
    <w:rsid w:val="00750F0A"/>
    <w:rsid w:val="00762808"/>
    <w:rsid w:val="00763238"/>
    <w:rsid w:val="00765640"/>
    <w:rsid w:val="00766136"/>
    <w:rsid w:val="00766BA3"/>
    <w:rsid w:val="00772A43"/>
    <w:rsid w:val="0077355F"/>
    <w:rsid w:val="00781DC7"/>
    <w:rsid w:val="00781EDF"/>
    <w:rsid w:val="00782AFC"/>
    <w:rsid w:val="0078551B"/>
    <w:rsid w:val="00793D7D"/>
    <w:rsid w:val="007954FC"/>
    <w:rsid w:val="007A141C"/>
    <w:rsid w:val="007A64C7"/>
    <w:rsid w:val="007B41FD"/>
    <w:rsid w:val="007B76AA"/>
    <w:rsid w:val="007C2D3C"/>
    <w:rsid w:val="007C59C0"/>
    <w:rsid w:val="007D6373"/>
    <w:rsid w:val="007E2CEA"/>
    <w:rsid w:val="007E48DE"/>
    <w:rsid w:val="007E4B79"/>
    <w:rsid w:val="007E7BBD"/>
    <w:rsid w:val="007F0709"/>
    <w:rsid w:val="007F072C"/>
    <w:rsid w:val="007F12CD"/>
    <w:rsid w:val="007F3B8F"/>
    <w:rsid w:val="00801B17"/>
    <w:rsid w:val="00803825"/>
    <w:rsid w:val="008053A7"/>
    <w:rsid w:val="008065CF"/>
    <w:rsid w:val="00811DCE"/>
    <w:rsid w:val="008274B8"/>
    <w:rsid w:val="00827D5A"/>
    <w:rsid w:val="008466AC"/>
    <w:rsid w:val="00847B50"/>
    <w:rsid w:val="0085116C"/>
    <w:rsid w:val="00852050"/>
    <w:rsid w:val="008536EA"/>
    <w:rsid w:val="008578E8"/>
    <w:rsid w:val="00864061"/>
    <w:rsid w:val="008673B9"/>
    <w:rsid w:val="00867C43"/>
    <w:rsid w:val="00871DA9"/>
    <w:rsid w:val="00877BD6"/>
    <w:rsid w:val="00881554"/>
    <w:rsid w:val="00881982"/>
    <w:rsid w:val="00882486"/>
    <w:rsid w:val="00885327"/>
    <w:rsid w:val="008866D5"/>
    <w:rsid w:val="008975CB"/>
    <w:rsid w:val="008A1414"/>
    <w:rsid w:val="008A1FB6"/>
    <w:rsid w:val="008A3604"/>
    <w:rsid w:val="008A411F"/>
    <w:rsid w:val="008A5A55"/>
    <w:rsid w:val="008B0381"/>
    <w:rsid w:val="008B7C98"/>
    <w:rsid w:val="008C7963"/>
    <w:rsid w:val="008D6D4D"/>
    <w:rsid w:val="008F2C42"/>
    <w:rsid w:val="008F4A7D"/>
    <w:rsid w:val="008F557D"/>
    <w:rsid w:val="008F5AD7"/>
    <w:rsid w:val="00901A21"/>
    <w:rsid w:val="009047EE"/>
    <w:rsid w:val="00913CB7"/>
    <w:rsid w:val="00916911"/>
    <w:rsid w:val="0092369E"/>
    <w:rsid w:val="009259D1"/>
    <w:rsid w:val="00930FF2"/>
    <w:rsid w:val="00932790"/>
    <w:rsid w:val="009338E4"/>
    <w:rsid w:val="00935C27"/>
    <w:rsid w:val="009414A3"/>
    <w:rsid w:val="00950236"/>
    <w:rsid w:val="00956A66"/>
    <w:rsid w:val="0096299D"/>
    <w:rsid w:val="00963394"/>
    <w:rsid w:val="00963DAD"/>
    <w:rsid w:val="00964007"/>
    <w:rsid w:val="009668C1"/>
    <w:rsid w:val="00977962"/>
    <w:rsid w:val="0098166F"/>
    <w:rsid w:val="00983021"/>
    <w:rsid w:val="00992B9D"/>
    <w:rsid w:val="009A4239"/>
    <w:rsid w:val="009B27EA"/>
    <w:rsid w:val="009B795E"/>
    <w:rsid w:val="009B7B27"/>
    <w:rsid w:val="009C62E5"/>
    <w:rsid w:val="009D2E8F"/>
    <w:rsid w:val="009D5AEC"/>
    <w:rsid w:val="009E09EB"/>
    <w:rsid w:val="009E3222"/>
    <w:rsid w:val="009E3FBD"/>
    <w:rsid w:val="009F23BA"/>
    <w:rsid w:val="00A026C0"/>
    <w:rsid w:val="00A12CA7"/>
    <w:rsid w:val="00A174FC"/>
    <w:rsid w:val="00A2306F"/>
    <w:rsid w:val="00A241E2"/>
    <w:rsid w:val="00A31345"/>
    <w:rsid w:val="00A327DD"/>
    <w:rsid w:val="00A35D30"/>
    <w:rsid w:val="00A4050D"/>
    <w:rsid w:val="00A41F30"/>
    <w:rsid w:val="00A43FA9"/>
    <w:rsid w:val="00A463B5"/>
    <w:rsid w:val="00A46D0A"/>
    <w:rsid w:val="00A511B3"/>
    <w:rsid w:val="00A5304D"/>
    <w:rsid w:val="00A56F67"/>
    <w:rsid w:val="00A602AF"/>
    <w:rsid w:val="00A63671"/>
    <w:rsid w:val="00A71980"/>
    <w:rsid w:val="00A74DA9"/>
    <w:rsid w:val="00A834C2"/>
    <w:rsid w:val="00A92A29"/>
    <w:rsid w:val="00A92FE4"/>
    <w:rsid w:val="00A94F49"/>
    <w:rsid w:val="00AA4616"/>
    <w:rsid w:val="00AA53F7"/>
    <w:rsid w:val="00AB03A2"/>
    <w:rsid w:val="00AB2515"/>
    <w:rsid w:val="00AB4824"/>
    <w:rsid w:val="00AB52CF"/>
    <w:rsid w:val="00AC22E6"/>
    <w:rsid w:val="00AC41D4"/>
    <w:rsid w:val="00AC54D8"/>
    <w:rsid w:val="00AC589B"/>
    <w:rsid w:val="00AD27C3"/>
    <w:rsid w:val="00AD2EED"/>
    <w:rsid w:val="00AD4FDC"/>
    <w:rsid w:val="00AD70C7"/>
    <w:rsid w:val="00AE08DA"/>
    <w:rsid w:val="00AF18CB"/>
    <w:rsid w:val="00AF4657"/>
    <w:rsid w:val="00B05359"/>
    <w:rsid w:val="00B06863"/>
    <w:rsid w:val="00B203A8"/>
    <w:rsid w:val="00B21FE6"/>
    <w:rsid w:val="00B34E66"/>
    <w:rsid w:val="00B37533"/>
    <w:rsid w:val="00B44564"/>
    <w:rsid w:val="00B4651E"/>
    <w:rsid w:val="00B46DFB"/>
    <w:rsid w:val="00B517A5"/>
    <w:rsid w:val="00B6675A"/>
    <w:rsid w:val="00B66A15"/>
    <w:rsid w:val="00B76133"/>
    <w:rsid w:val="00B81D91"/>
    <w:rsid w:val="00B82359"/>
    <w:rsid w:val="00BB0579"/>
    <w:rsid w:val="00BB20B9"/>
    <w:rsid w:val="00BB3B2E"/>
    <w:rsid w:val="00BB7B0B"/>
    <w:rsid w:val="00BC15D2"/>
    <w:rsid w:val="00BC357D"/>
    <w:rsid w:val="00BF12DE"/>
    <w:rsid w:val="00BF195F"/>
    <w:rsid w:val="00BF3485"/>
    <w:rsid w:val="00BF6E17"/>
    <w:rsid w:val="00C0025A"/>
    <w:rsid w:val="00C015DC"/>
    <w:rsid w:val="00C059A9"/>
    <w:rsid w:val="00C1395C"/>
    <w:rsid w:val="00C140A1"/>
    <w:rsid w:val="00C1458B"/>
    <w:rsid w:val="00C30AAA"/>
    <w:rsid w:val="00C365E3"/>
    <w:rsid w:val="00C37971"/>
    <w:rsid w:val="00C41C04"/>
    <w:rsid w:val="00C47491"/>
    <w:rsid w:val="00C50632"/>
    <w:rsid w:val="00C548C6"/>
    <w:rsid w:val="00C6388E"/>
    <w:rsid w:val="00C65D3C"/>
    <w:rsid w:val="00C67122"/>
    <w:rsid w:val="00C67DA9"/>
    <w:rsid w:val="00C7177C"/>
    <w:rsid w:val="00C82D44"/>
    <w:rsid w:val="00C83B46"/>
    <w:rsid w:val="00C876F0"/>
    <w:rsid w:val="00C87E98"/>
    <w:rsid w:val="00C917D6"/>
    <w:rsid w:val="00C9521F"/>
    <w:rsid w:val="00CB13F7"/>
    <w:rsid w:val="00CB2179"/>
    <w:rsid w:val="00CB3791"/>
    <w:rsid w:val="00CB4FC2"/>
    <w:rsid w:val="00CB6053"/>
    <w:rsid w:val="00CC3280"/>
    <w:rsid w:val="00CC73B6"/>
    <w:rsid w:val="00CD0C61"/>
    <w:rsid w:val="00CD114F"/>
    <w:rsid w:val="00CD2D50"/>
    <w:rsid w:val="00CF0197"/>
    <w:rsid w:val="00CF178B"/>
    <w:rsid w:val="00CF74C4"/>
    <w:rsid w:val="00CF7844"/>
    <w:rsid w:val="00D048EB"/>
    <w:rsid w:val="00D10169"/>
    <w:rsid w:val="00D16B94"/>
    <w:rsid w:val="00D21209"/>
    <w:rsid w:val="00D24D5B"/>
    <w:rsid w:val="00D25237"/>
    <w:rsid w:val="00D26382"/>
    <w:rsid w:val="00D26AD3"/>
    <w:rsid w:val="00D3538C"/>
    <w:rsid w:val="00D35943"/>
    <w:rsid w:val="00D360AB"/>
    <w:rsid w:val="00D41673"/>
    <w:rsid w:val="00D4243D"/>
    <w:rsid w:val="00D44031"/>
    <w:rsid w:val="00D448A8"/>
    <w:rsid w:val="00D46F7F"/>
    <w:rsid w:val="00D507AD"/>
    <w:rsid w:val="00D51294"/>
    <w:rsid w:val="00D518B6"/>
    <w:rsid w:val="00D52802"/>
    <w:rsid w:val="00D54D6D"/>
    <w:rsid w:val="00D6183C"/>
    <w:rsid w:val="00D7402B"/>
    <w:rsid w:val="00D74607"/>
    <w:rsid w:val="00D75354"/>
    <w:rsid w:val="00D804B1"/>
    <w:rsid w:val="00D834D8"/>
    <w:rsid w:val="00D863D4"/>
    <w:rsid w:val="00D863DE"/>
    <w:rsid w:val="00D8691E"/>
    <w:rsid w:val="00D925AF"/>
    <w:rsid w:val="00D95F3A"/>
    <w:rsid w:val="00DA0892"/>
    <w:rsid w:val="00DB56A9"/>
    <w:rsid w:val="00DB683A"/>
    <w:rsid w:val="00DC2BC5"/>
    <w:rsid w:val="00DD6471"/>
    <w:rsid w:val="00DE1523"/>
    <w:rsid w:val="00DE4868"/>
    <w:rsid w:val="00DE7F8F"/>
    <w:rsid w:val="00DF78E1"/>
    <w:rsid w:val="00E05A1E"/>
    <w:rsid w:val="00E13479"/>
    <w:rsid w:val="00E1580F"/>
    <w:rsid w:val="00E1642B"/>
    <w:rsid w:val="00E3387C"/>
    <w:rsid w:val="00E3393D"/>
    <w:rsid w:val="00E37758"/>
    <w:rsid w:val="00E4119B"/>
    <w:rsid w:val="00E45E9C"/>
    <w:rsid w:val="00E50CD1"/>
    <w:rsid w:val="00E56BCB"/>
    <w:rsid w:val="00E63C66"/>
    <w:rsid w:val="00E75543"/>
    <w:rsid w:val="00E85923"/>
    <w:rsid w:val="00E93942"/>
    <w:rsid w:val="00E9499E"/>
    <w:rsid w:val="00E9589C"/>
    <w:rsid w:val="00E97387"/>
    <w:rsid w:val="00EA15A8"/>
    <w:rsid w:val="00EA65D9"/>
    <w:rsid w:val="00EB1CBC"/>
    <w:rsid w:val="00EC1435"/>
    <w:rsid w:val="00ED28BE"/>
    <w:rsid w:val="00ED65A0"/>
    <w:rsid w:val="00EE577F"/>
    <w:rsid w:val="00EF5F37"/>
    <w:rsid w:val="00EF6D39"/>
    <w:rsid w:val="00F00D94"/>
    <w:rsid w:val="00F17B15"/>
    <w:rsid w:val="00F24796"/>
    <w:rsid w:val="00F31FF4"/>
    <w:rsid w:val="00F36B6C"/>
    <w:rsid w:val="00F37FD2"/>
    <w:rsid w:val="00F40D01"/>
    <w:rsid w:val="00F440F0"/>
    <w:rsid w:val="00F52CE0"/>
    <w:rsid w:val="00F629E3"/>
    <w:rsid w:val="00F67E8D"/>
    <w:rsid w:val="00F812DD"/>
    <w:rsid w:val="00F81538"/>
    <w:rsid w:val="00F94BB7"/>
    <w:rsid w:val="00FA27BB"/>
    <w:rsid w:val="00FA6907"/>
    <w:rsid w:val="00FA6E29"/>
    <w:rsid w:val="00FB2BEA"/>
    <w:rsid w:val="00FB3827"/>
    <w:rsid w:val="00FB40A5"/>
    <w:rsid w:val="00FB5D1D"/>
    <w:rsid w:val="00FB7AA4"/>
    <w:rsid w:val="00FD1090"/>
    <w:rsid w:val="00FE364F"/>
    <w:rsid w:val="00FE3F29"/>
    <w:rsid w:val="00FF25E6"/>
    <w:rsid w:val="00FF579D"/>
    <w:rsid w:val="00FF6D8C"/>
    <w:rsid w:val="0155229B"/>
    <w:rsid w:val="035D0457"/>
    <w:rsid w:val="03674132"/>
    <w:rsid w:val="03BB2D1E"/>
    <w:rsid w:val="04176417"/>
    <w:rsid w:val="05AE7D43"/>
    <w:rsid w:val="064918B1"/>
    <w:rsid w:val="064A214B"/>
    <w:rsid w:val="08CA6094"/>
    <w:rsid w:val="093E4F23"/>
    <w:rsid w:val="0A64085E"/>
    <w:rsid w:val="0B093D05"/>
    <w:rsid w:val="0C452294"/>
    <w:rsid w:val="0DCC2090"/>
    <w:rsid w:val="0DD9531C"/>
    <w:rsid w:val="0DEE2D3E"/>
    <w:rsid w:val="0ECE329B"/>
    <w:rsid w:val="0F0808A3"/>
    <w:rsid w:val="0F627C4F"/>
    <w:rsid w:val="0FBE1A96"/>
    <w:rsid w:val="101C784D"/>
    <w:rsid w:val="10625C40"/>
    <w:rsid w:val="11364124"/>
    <w:rsid w:val="119A647C"/>
    <w:rsid w:val="13E9022F"/>
    <w:rsid w:val="140F38EB"/>
    <w:rsid w:val="15C745A0"/>
    <w:rsid w:val="16896E46"/>
    <w:rsid w:val="16A40049"/>
    <w:rsid w:val="16E178E4"/>
    <w:rsid w:val="1724330D"/>
    <w:rsid w:val="17684C6A"/>
    <w:rsid w:val="17F9719D"/>
    <w:rsid w:val="17FC698B"/>
    <w:rsid w:val="19AF3CC9"/>
    <w:rsid w:val="1ABE78E6"/>
    <w:rsid w:val="1B19066F"/>
    <w:rsid w:val="1B307BF4"/>
    <w:rsid w:val="1B727F33"/>
    <w:rsid w:val="1B7A20B5"/>
    <w:rsid w:val="1BFB18F5"/>
    <w:rsid w:val="1C077B26"/>
    <w:rsid w:val="1C987B51"/>
    <w:rsid w:val="1CA3079D"/>
    <w:rsid w:val="1E082962"/>
    <w:rsid w:val="1E1E141D"/>
    <w:rsid w:val="1E397B74"/>
    <w:rsid w:val="1F83309A"/>
    <w:rsid w:val="1FCF65D3"/>
    <w:rsid w:val="201507A4"/>
    <w:rsid w:val="20466036"/>
    <w:rsid w:val="20D92990"/>
    <w:rsid w:val="21B3049E"/>
    <w:rsid w:val="21B812FB"/>
    <w:rsid w:val="21CA3976"/>
    <w:rsid w:val="2277734E"/>
    <w:rsid w:val="2346080A"/>
    <w:rsid w:val="23850B74"/>
    <w:rsid w:val="255F47F5"/>
    <w:rsid w:val="2619335C"/>
    <w:rsid w:val="263360B1"/>
    <w:rsid w:val="27C1452C"/>
    <w:rsid w:val="295E6B72"/>
    <w:rsid w:val="2A527E49"/>
    <w:rsid w:val="2AE15AD6"/>
    <w:rsid w:val="2B5F19AD"/>
    <w:rsid w:val="2D1F2B49"/>
    <w:rsid w:val="2D7B0BD7"/>
    <w:rsid w:val="2F444D0B"/>
    <w:rsid w:val="2FFA1F7C"/>
    <w:rsid w:val="30322750"/>
    <w:rsid w:val="3076767E"/>
    <w:rsid w:val="317622D9"/>
    <w:rsid w:val="323D3EBA"/>
    <w:rsid w:val="328C4750"/>
    <w:rsid w:val="32BF1A5A"/>
    <w:rsid w:val="33460140"/>
    <w:rsid w:val="339F56C4"/>
    <w:rsid w:val="33DF0D1A"/>
    <w:rsid w:val="34BD6650"/>
    <w:rsid w:val="36304A98"/>
    <w:rsid w:val="376E0026"/>
    <w:rsid w:val="38366BF4"/>
    <w:rsid w:val="38B64D1E"/>
    <w:rsid w:val="39CD115E"/>
    <w:rsid w:val="3A0A23EA"/>
    <w:rsid w:val="3AE315CD"/>
    <w:rsid w:val="3BC77855"/>
    <w:rsid w:val="3CED77EB"/>
    <w:rsid w:val="3CF65FD9"/>
    <w:rsid w:val="3D556044"/>
    <w:rsid w:val="3D8C5A0F"/>
    <w:rsid w:val="3DC115C9"/>
    <w:rsid w:val="3DC51BFA"/>
    <w:rsid w:val="3E86299B"/>
    <w:rsid w:val="3F62483B"/>
    <w:rsid w:val="3F9C4857"/>
    <w:rsid w:val="3FFB1859"/>
    <w:rsid w:val="408B6808"/>
    <w:rsid w:val="412072E6"/>
    <w:rsid w:val="41DA2723"/>
    <w:rsid w:val="42565461"/>
    <w:rsid w:val="45A85AEE"/>
    <w:rsid w:val="45C95831"/>
    <w:rsid w:val="464B6687"/>
    <w:rsid w:val="46D14AB2"/>
    <w:rsid w:val="47620EBF"/>
    <w:rsid w:val="487F2935"/>
    <w:rsid w:val="48C22867"/>
    <w:rsid w:val="490A18C6"/>
    <w:rsid w:val="49BC62DC"/>
    <w:rsid w:val="49F01583"/>
    <w:rsid w:val="4ABB09A9"/>
    <w:rsid w:val="4BEF5BFB"/>
    <w:rsid w:val="4C2224CB"/>
    <w:rsid w:val="4C8B0C0D"/>
    <w:rsid w:val="4CBB0BEB"/>
    <w:rsid w:val="4E10791C"/>
    <w:rsid w:val="4E4B5067"/>
    <w:rsid w:val="4E792D80"/>
    <w:rsid w:val="4F612FD2"/>
    <w:rsid w:val="5075202F"/>
    <w:rsid w:val="51B55619"/>
    <w:rsid w:val="51BB2485"/>
    <w:rsid w:val="51DF2696"/>
    <w:rsid w:val="51EA76B0"/>
    <w:rsid w:val="531C7C25"/>
    <w:rsid w:val="5347425E"/>
    <w:rsid w:val="539406FE"/>
    <w:rsid w:val="542422C3"/>
    <w:rsid w:val="54B55A10"/>
    <w:rsid w:val="54E67898"/>
    <w:rsid w:val="550541C2"/>
    <w:rsid w:val="55D925B3"/>
    <w:rsid w:val="56941BD9"/>
    <w:rsid w:val="56F861ED"/>
    <w:rsid w:val="59432E45"/>
    <w:rsid w:val="595B5339"/>
    <w:rsid w:val="59701E26"/>
    <w:rsid w:val="5AAE6DC3"/>
    <w:rsid w:val="5CDA23D8"/>
    <w:rsid w:val="5D4635C9"/>
    <w:rsid w:val="5D7412A2"/>
    <w:rsid w:val="5F1D0764"/>
    <w:rsid w:val="5FB35B53"/>
    <w:rsid w:val="5FFD3D10"/>
    <w:rsid w:val="60325114"/>
    <w:rsid w:val="604162CA"/>
    <w:rsid w:val="611D0635"/>
    <w:rsid w:val="6280757E"/>
    <w:rsid w:val="650A2D87"/>
    <w:rsid w:val="65A1191B"/>
    <w:rsid w:val="65CB0155"/>
    <w:rsid w:val="66423D54"/>
    <w:rsid w:val="6660230D"/>
    <w:rsid w:val="666A18E5"/>
    <w:rsid w:val="66FB2E43"/>
    <w:rsid w:val="670D57B5"/>
    <w:rsid w:val="677A23E5"/>
    <w:rsid w:val="6A51067A"/>
    <w:rsid w:val="6A973995"/>
    <w:rsid w:val="6C3B24D2"/>
    <w:rsid w:val="6C5739E9"/>
    <w:rsid w:val="6C7F6878"/>
    <w:rsid w:val="6C8F0AF4"/>
    <w:rsid w:val="6D4A02CD"/>
    <w:rsid w:val="6E067D95"/>
    <w:rsid w:val="6E702866"/>
    <w:rsid w:val="6F82361B"/>
    <w:rsid w:val="70C12539"/>
    <w:rsid w:val="74BA07AA"/>
    <w:rsid w:val="74D21128"/>
    <w:rsid w:val="757006AF"/>
    <w:rsid w:val="759168A0"/>
    <w:rsid w:val="759F5B15"/>
    <w:rsid w:val="75CB7D6F"/>
    <w:rsid w:val="75E61C85"/>
    <w:rsid w:val="76F67625"/>
    <w:rsid w:val="770C1A2E"/>
    <w:rsid w:val="782542E2"/>
    <w:rsid w:val="785D2013"/>
    <w:rsid w:val="79172C8E"/>
    <w:rsid w:val="79716AB5"/>
    <w:rsid w:val="7A4204C1"/>
    <w:rsid w:val="7CB741E0"/>
    <w:rsid w:val="7CCD4A49"/>
    <w:rsid w:val="7D584BCB"/>
    <w:rsid w:val="7DBD122E"/>
    <w:rsid w:val="7F7E4A57"/>
    <w:rsid w:val="7FC24A9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iPriority="99" w:semiHidden="0" w:name="header"/>
    <w:lsdException w:qFormat="1" w:unhideWhenUsed="0" w:uiPriority="0" w:semiHidden="0" w:name="footer"/>
    <w:lsdException w:uiPriority="99" w:name="index heading"/>
    <w:lsdException w:qFormat="1" w:unhideWhenUsed="0" w:uiPriority="35" w:semiHidden="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link w:val="52"/>
    <w:semiHidden/>
    <w:unhideWhenUsed/>
    <w:qFormat/>
    <w:locked/>
    <w:uiPriority w:val="0"/>
    <w:pPr>
      <w:keepNext/>
      <w:keepLines/>
      <w:spacing w:before="260" w:after="260" w:line="416" w:lineRule="auto"/>
      <w:outlineLvl w:val="2"/>
    </w:pPr>
    <w:rPr>
      <w:b/>
      <w:bCs/>
      <w:sz w:val="32"/>
      <w:szCs w:val="32"/>
    </w:rPr>
  </w:style>
  <w:style w:type="paragraph" w:styleId="3">
    <w:name w:val="heading 4"/>
    <w:basedOn w:val="1"/>
    <w:next w:val="1"/>
    <w:qFormat/>
    <w:locked/>
    <w:uiPriority w:val="0"/>
    <w:pPr>
      <w:numPr>
        <w:ilvl w:val="3"/>
        <w:numId w:val="1"/>
      </w:numPr>
      <w:spacing w:line="300" w:lineRule="auto"/>
      <w:outlineLvl w:val="3"/>
    </w:pPr>
    <w:rPr>
      <w:rFonts w:ascii="黑体" w:hAnsi="Arial" w:eastAsia="黑体"/>
      <w:bCs/>
      <w:szCs w:val="21"/>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caption"/>
    <w:basedOn w:val="1"/>
    <w:next w:val="1"/>
    <w:qFormat/>
    <w:locked/>
    <w:uiPriority w:val="35"/>
    <w:rPr>
      <w:rFonts w:ascii="Arial" w:hAnsi="Arial" w:eastAsia="黑体" w:cs="Arial"/>
      <w:sz w:val="20"/>
      <w:szCs w:val="20"/>
    </w:rPr>
  </w:style>
  <w:style w:type="paragraph" w:styleId="5">
    <w:name w:val="annotation text"/>
    <w:basedOn w:val="1"/>
    <w:link w:val="20"/>
    <w:qFormat/>
    <w:uiPriority w:val="99"/>
    <w:pPr>
      <w:jc w:val="left"/>
    </w:pPr>
    <w:rPr>
      <w:rFonts w:ascii="Times New Roman" w:hAnsi="Times New Roman"/>
      <w:szCs w:val="24"/>
    </w:rPr>
  </w:style>
  <w:style w:type="paragraph" w:styleId="6">
    <w:name w:val="Plain Text"/>
    <w:basedOn w:val="1"/>
    <w:link w:val="48"/>
    <w:qFormat/>
    <w:uiPriority w:val="0"/>
    <w:rPr>
      <w:rFonts w:ascii="宋体" w:hAnsi="Courier New"/>
      <w:szCs w:val="24"/>
    </w:rPr>
  </w:style>
  <w:style w:type="paragraph" w:styleId="7">
    <w:name w:val="Balloon Text"/>
    <w:basedOn w:val="1"/>
    <w:link w:val="21"/>
    <w:semiHidden/>
    <w:qFormat/>
    <w:uiPriority w:val="99"/>
    <w:rPr>
      <w:sz w:val="18"/>
      <w:szCs w:val="18"/>
    </w:rPr>
  </w:style>
  <w:style w:type="paragraph" w:styleId="8">
    <w:name w:val="footer"/>
    <w:basedOn w:val="1"/>
    <w:link w:val="19"/>
    <w:qFormat/>
    <w:uiPriority w:val="0"/>
    <w:pPr>
      <w:tabs>
        <w:tab w:val="center" w:pos="4153"/>
        <w:tab w:val="right" w:pos="8306"/>
      </w:tabs>
      <w:snapToGrid w:val="0"/>
      <w:jc w:val="left"/>
    </w:pPr>
    <w:rPr>
      <w:rFonts w:ascii="Times New Roman" w:hAnsi="Times New Roman"/>
      <w:sz w:val="18"/>
      <w:szCs w:val="18"/>
    </w:rPr>
  </w:style>
  <w:style w:type="paragraph" w:styleId="9">
    <w:name w:val="header"/>
    <w:basedOn w:val="1"/>
    <w:link w:val="44"/>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HTML Preformatted"/>
    <w:basedOn w:val="1"/>
    <w:link w:val="47"/>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1">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3">
    <w:name w:val="Table Grid"/>
    <w:basedOn w:val="1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5">
    <w:name w:val="Strong"/>
    <w:qFormat/>
    <w:locked/>
    <w:uiPriority w:val="22"/>
    <w:rPr>
      <w:b/>
      <w:bCs/>
    </w:rPr>
  </w:style>
  <w:style w:type="character" w:styleId="16">
    <w:name w:val="page number"/>
    <w:basedOn w:val="14"/>
    <w:qFormat/>
    <w:uiPriority w:val="99"/>
    <w:rPr>
      <w:rFonts w:cs="Times New Roman"/>
    </w:rPr>
  </w:style>
  <w:style w:type="character" w:styleId="17">
    <w:name w:val="Hyperlink"/>
    <w:basedOn w:val="14"/>
    <w:qFormat/>
    <w:uiPriority w:val="99"/>
    <w:rPr>
      <w:rFonts w:cs="Times New Roman"/>
      <w:color w:val="0000FF"/>
      <w:u w:val="single"/>
    </w:rPr>
  </w:style>
  <w:style w:type="character" w:styleId="18">
    <w:name w:val="annotation reference"/>
    <w:basedOn w:val="14"/>
    <w:qFormat/>
    <w:uiPriority w:val="99"/>
    <w:rPr>
      <w:rFonts w:cs="Times New Roman"/>
      <w:sz w:val="21"/>
    </w:rPr>
  </w:style>
  <w:style w:type="character" w:customStyle="1" w:styleId="19">
    <w:name w:val="页脚 Char"/>
    <w:basedOn w:val="14"/>
    <w:link w:val="8"/>
    <w:qFormat/>
    <w:locked/>
    <w:uiPriority w:val="99"/>
    <w:rPr>
      <w:rFonts w:ascii="Times New Roman" w:hAnsi="Times New Roman" w:eastAsia="宋体" w:cs="Times New Roman"/>
      <w:sz w:val="18"/>
      <w:szCs w:val="18"/>
    </w:rPr>
  </w:style>
  <w:style w:type="character" w:customStyle="1" w:styleId="20">
    <w:name w:val="批注文字 Char"/>
    <w:basedOn w:val="14"/>
    <w:link w:val="5"/>
    <w:qFormat/>
    <w:locked/>
    <w:uiPriority w:val="99"/>
    <w:rPr>
      <w:rFonts w:ascii="Times New Roman" w:hAnsi="Times New Roman" w:eastAsia="宋体" w:cs="Times New Roman"/>
      <w:sz w:val="24"/>
      <w:szCs w:val="24"/>
    </w:rPr>
  </w:style>
  <w:style w:type="character" w:customStyle="1" w:styleId="21">
    <w:name w:val="批注框文本 Char"/>
    <w:basedOn w:val="14"/>
    <w:link w:val="7"/>
    <w:semiHidden/>
    <w:qFormat/>
    <w:locked/>
    <w:uiPriority w:val="99"/>
    <w:rPr>
      <w:rFonts w:cs="Times New Roman"/>
      <w:sz w:val="18"/>
      <w:szCs w:val="18"/>
    </w:rPr>
  </w:style>
  <w:style w:type="paragraph" w:customStyle="1" w:styleId="22">
    <w:name w:val="段"/>
    <w:link w:val="23"/>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2"/>
      <w:sz w:val="21"/>
      <w:szCs w:val="22"/>
      <w:lang w:val="en-US" w:eastAsia="zh-CN" w:bidi="ar-SA"/>
    </w:rPr>
  </w:style>
  <w:style w:type="character" w:customStyle="1" w:styleId="23">
    <w:name w:val="段 Char"/>
    <w:link w:val="22"/>
    <w:qFormat/>
    <w:locked/>
    <w:uiPriority w:val="0"/>
    <w:rPr>
      <w:rFonts w:ascii="宋体" w:hAnsi="Times New Roman"/>
      <w:kern w:val="2"/>
      <w:sz w:val="22"/>
      <w:lang w:val="en-US" w:eastAsia="zh-CN"/>
    </w:rPr>
  </w:style>
  <w:style w:type="paragraph" w:customStyle="1" w:styleId="24">
    <w:name w:val="一级条标题"/>
    <w:next w:val="22"/>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paragraph" w:customStyle="1" w:styleId="25">
    <w:name w:val="章标题"/>
    <w:next w:val="22"/>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26">
    <w:name w:val="二级条标题"/>
    <w:basedOn w:val="24"/>
    <w:next w:val="22"/>
    <w:link w:val="28"/>
    <w:qFormat/>
    <w:uiPriority w:val="0"/>
    <w:pPr>
      <w:numPr>
        <w:ilvl w:val="2"/>
      </w:numPr>
      <w:spacing w:before="50" w:after="50"/>
      <w:outlineLvl w:val="3"/>
    </w:pPr>
  </w:style>
  <w:style w:type="paragraph" w:customStyle="1" w:styleId="27">
    <w:name w:val="四级条标题"/>
    <w:basedOn w:val="1"/>
    <w:next w:val="22"/>
    <w:qFormat/>
    <w:uiPriority w:val="0"/>
    <w:pPr>
      <w:widowControl/>
      <w:numPr>
        <w:ilvl w:val="5"/>
        <w:numId w:val="2"/>
      </w:numPr>
      <w:spacing w:beforeLines="50" w:afterLines="50"/>
      <w:jc w:val="left"/>
      <w:outlineLvl w:val="5"/>
    </w:pPr>
    <w:rPr>
      <w:rFonts w:ascii="黑体" w:hAnsi="Times New Roman" w:eastAsia="黑体"/>
      <w:kern w:val="0"/>
      <w:szCs w:val="21"/>
    </w:rPr>
  </w:style>
  <w:style w:type="character" w:customStyle="1" w:styleId="28">
    <w:name w:val="二级条标题 Char"/>
    <w:basedOn w:val="14"/>
    <w:link w:val="26"/>
    <w:qFormat/>
    <w:locked/>
    <w:uiPriority w:val="99"/>
    <w:rPr>
      <w:rFonts w:ascii="黑体" w:hAnsi="Times New Roman" w:eastAsia="黑体" w:cs="Times New Roman"/>
      <w:kern w:val="0"/>
      <w:sz w:val="21"/>
      <w:szCs w:val="21"/>
    </w:rPr>
  </w:style>
  <w:style w:type="paragraph" w:styleId="29">
    <w:name w:val="List Paragraph"/>
    <w:basedOn w:val="1"/>
    <w:qFormat/>
    <w:uiPriority w:val="34"/>
    <w:pPr>
      <w:ind w:firstLine="420" w:firstLineChars="200"/>
    </w:pPr>
  </w:style>
  <w:style w:type="paragraph" w:customStyle="1" w:styleId="30">
    <w:name w:val="封面标准号2"/>
    <w:qFormat/>
    <w:uiPriority w:val="99"/>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31">
    <w:name w:val="标准标志"/>
    <w:next w:val="1"/>
    <w:qFormat/>
    <w:uiPriority w:val="99"/>
    <w:pPr>
      <w:framePr w:w="2546" w:h="1389" w:hRule="exact" w:hSpace="181" w:vSpace="181" w:wrap="around" w:vAnchor="margin" w:hAnchor="margin" w:x="6522" w:y="398" w:anchorLock="1"/>
      <w:shd w:val="solid" w:color="FFFFFF" w:fill="FFFFFF"/>
      <w:spacing w:line="240" w:lineRule="atLeast"/>
      <w:jc w:val="right"/>
    </w:pPr>
    <w:rPr>
      <w:rFonts w:ascii="Times New Roman" w:hAnsi="Times New Roman" w:eastAsia="宋体" w:cs="Times New Roman"/>
      <w:b/>
      <w:w w:val="170"/>
      <w:sz w:val="96"/>
      <w:szCs w:val="96"/>
      <w:lang w:val="en-US" w:eastAsia="zh-CN" w:bidi="ar-SA"/>
    </w:rPr>
  </w:style>
  <w:style w:type="character" w:customStyle="1" w:styleId="32">
    <w:name w:val="发布"/>
    <w:qFormat/>
    <w:uiPriority w:val="99"/>
    <w:rPr>
      <w:rFonts w:ascii="黑体" w:eastAsia="黑体"/>
      <w:spacing w:val="85"/>
      <w:w w:val="100"/>
      <w:position w:val="3"/>
      <w:sz w:val="28"/>
    </w:rPr>
  </w:style>
  <w:style w:type="paragraph" w:customStyle="1" w:styleId="33">
    <w:name w:val="封面标准代替信息"/>
    <w:qFormat/>
    <w:uiPriority w:val="99"/>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34">
    <w:name w:val="封面标准名称"/>
    <w:qFormat/>
    <w:uiPriority w:val="99"/>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35">
    <w:name w:val="封面标准英文名称"/>
    <w:basedOn w:val="34"/>
    <w:qFormat/>
    <w:uiPriority w:val="99"/>
    <w:pPr>
      <w:framePr w:wrap="around"/>
      <w:spacing w:before="370" w:line="400" w:lineRule="exact"/>
    </w:pPr>
    <w:rPr>
      <w:rFonts w:ascii="Times New Roman"/>
      <w:sz w:val="28"/>
      <w:szCs w:val="28"/>
    </w:rPr>
  </w:style>
  <w:style w:type="paragraph" w:customStyle="1" w:styleId="36">
    <w:name w:val="封面一致性程度标识"/>
    <w:basedOn w:val="35"/>
    <w:qFormat/>
    <w:uiPriority w:val="99"/>
    <w:pPr>
      <w:framePr w:wrap="around"/>
      <w:spacing w:before="440"/>
    </w:pPr>
    <w:rPr>
      <w:rFonts w:ascii="宋体" w:eastAsia="宋体"/>
    </w:rPr>
  </w:style>
  <w:style w:type="paragraph" w:customStyle="1" w:styleId="37">
    <w:name w:val="封面标准文稿类别"/>
    <w:basedOn w:val="36"/>
    <w:qFormat/>
    <w:uiPriority w:val="99"/>
    <w:pPr>
      <w:framePr w:wrap="around"/>
      <w:spacing w:after="160" w:line="240" w:lineRule="auto"/>
    </w:pPr>
    <w:rPr>
      <w:sz w:val="24"/>
    </w:rPr>
  </w:style>
  <w:style w:type="paragraph" w:customStyle="1" w:styleId="38">
    <w:name w:val="封面标准文稿编辑信息"/>
    <w:basedOn w:val="37"/>
    <w:qFormat/>
    <w:uiPriority w:val="99"/>
    <w:pPr>
      <w:framePr w:wrap="around"/>
      <w:spacing w:before="180" w:line="180" w:lineRule="exact"/>
    </w:pPr>
    <w:rPr>
      <w:sz w:val="21"/>
    </w:rPr>
  </w:style>
  <w:style w:type="paragraph" w:customStyle="1" w:styleId="39">
    <w:name w:val="其他标准称谓"/>
    <w:next w:val="1"/>
    <w:qFormat/>
    <w:uiPriority w:val="99"/>
    <w:pPr>
      <w:framePr w:hSpace="181" w:vSpace="181" w:wrap="around" w:vAnchor="page" w:hAnchor="page" w:x="1419" w:y="2286" w:anchorLock="1"/>
      <w:spacing w:line="240" w:lineRule="atLeast"/>
      <w:jc w:val="distribute"/>
    </w:pPr>
    <w:rPr>
      <w:rFonts w:ascii="黑体" w:hAnsi="宋体" w:eastAsia="黑体" w:cs="Times New Roman"/>
      <w:spacing w:val="-40"/>
      <w:sz w:val="48"/>
      <w:szCs w:val="52"/>
      <w:lang w:val="en-US" w:eastAsia="zh-CN" w:bidi="ar-SA"/>
    </w:rPr>
  </w:style>
  <w:style w:type="paragraph" w:customStyle="1" w:styleId="40">
    <w:name w:val="其他发布部门"/>
    <w:basedOn w:val="1"/>
    <w:qFormat/>
    <w:uiPriority w:val="99"/>
    <w:pPr>
      <w:framePr w:w="7938" w:h="1134" w:hRule="exact" w:hSpace="125" w:vSpace="181" w:wrap="around" w:vAnchor="page" w:hAnchor="page" w:x="2150" w:y="15310" w:anchorLock="1"/>
      <w:widowControl/>
      <w:spacing w:line="240" w:lineRule="atLeast"/>
      <w:jc w:val="center"/>
    </w:pPr>
    <w:rPr>
      <w:rFonts w:ascii="黑体" w:hAnsi="Times New Roman" w:eastAsia="黑体"/>
      <w:spacing w:val="20"/>
      <w:w w:val="135"/>
      <w:kern w:val="0"/>
      <w:sz w:val="28"/>
      <w:szCs w:val="20"/>
    </w:rPr>
  </w:style>
  <w:style w:type="paragraph" w:customStyle="1" w:styleId="41">
    <w:name w:val="文献分类号"/>
    <w:qFormat/>
    <w:uiPriority w:val="99"/>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42">
    <w:name w:val="其他发布日期"/>
    <w:basedOn w:val="1"/>
    <w:qFormat/>
    <w:uiPriority w:val="99"/>
    <w:pPr>
      <w:framePr w:w="3997" w:h="471" w:hRule="exact" w:vSpace="181" w:wrap="around" w:vAnchor="page" w:hAnchor="text" w:x="1419" w:y="14097" w:anchorLock="1"/>
      <w:widowControl/>
      <w:jc w:val="left"/>
    </w:pPr>
    <w:rPr>
      <w:rFonts w:ascii="Times New Roman" w:hAnsi="Times New Roman" w:eastAsia="黑体"/>
      <w:kern w:val="0"/>
      <w:sz w:val="28"/>
      <w:szCs w:val="20"/>
    </w:rPr>
  </w:style>
  <w:style w:type="paragraph" w:customStyle="1" w:styleId="43">
    <w:name w:val="其他实施日期"/>
    <w:basedOn w:val="1"/>
    <w:qFormat/>
    <w:uiPriority w:val="99"/>
    <w:pPr>
      <w:framePr w:w="3997" w:h="471" w:hRule="exact" w:vSpace="181" w:wrap="around" w:vAnchor="page" w:hAnchor="text" w:x="7089" w:y="14097" w:anchorLock="1"/>
      <w:widowControl/>
      <w:jc w:val="right"/>
    </w:pPr>
    <w:rPr>
      <w:rFonts w:ascii="Times New Roman" w:hAnsi="Times New Roman" w:eastAsia="黑体"/>
      <w:kern w:val="0"/>
      <w:sz w:val="28"/>
      <w:szCs w:val="20"/>
    </w:rPr>
  </w:style>
  <w:style w:type="character" w:customStyle="1" w:styleId="44">
    <w:name w:val="页眉 Char"/>
    <w:basedOn w:val="14"/>
    <w:link w:val="9"/>
    <w:qFormat/>
    <w:uiPriority w:val="99"/>
    <w:rPr>
      <w:sz w:val="18"/>
      <w:szCs w:val="18"/>
    </w:rPr>
  </w:style>
  <w:style w:type="paragraph" w:customStyle="1" w:styleId="45">
    <w:name w:val="Char Char5"/>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46">
    <w:name w:val="HTML 预先格式化"/>
    <w:basedOn w:val="1"/>
    <w:qFormat/>
    <w:uiPriority w:val="0"/>
    <w:rPr>
      <w:rFonts w:ascii="Courier New" w:hAnsi="Courier New" w:cs="宋体"/>
      <w:sz w:val="20"/>
      <w:szCs w:val="20"/>
    </w:rPr>
  </w:style>
  <w:style w:type="character" w:customStyle="1" w:styleId="47">
    <w:name w:val="HTML 预设格式 Char"/>
    <w:basedOn w:val="14"/>
    <w:link w:val="10"/>
    <w:semiHidden/>
    <w:qFormat/>
    <w:uiPriority w:val="99"/>
    <w:rPr>
      <w:rFonts w:ascii="宋体" w:hAnsi="宋体" w:cs="宋体"/>
      <w:kern w:val="0"/>
      <w:sz w:val="24"/>
      <w:szCs w:val="24"/>
    </w:rPr>
  </w:style>
  <w:style w:type="character" w:customStyle="1" w:styleId="48">
    <w:name w:val="纯文本 Char"/>
    <w:basedOn w:val="14"/>
    <w:link w:val="6"/>
    <w:qFormat/>
    <w:uiPriority w:val="0"/>
    <w:rPr>
      <w:rFonts w:ascii="宋体" w:hAnsi="Courier New"/>
      <w:szCs w:val="24"/>
    </w:rPr>
  </w:style>
  <w:style w:type="character" w:customStyle="1" w:styleId="49">
    <w:name w:val="不明显强调1"/>
    <w:basedOn w:val="14"/>
    <w:qFormat/>
    <w:uiPriority w:val="19"/>
    <w:rPr>
      <w:i/>
      <w:iCs/>
      <w:color w:val="808080" w:themeColor="text1" w:themeTint="80"/>
      <w14:textFill>
        <w14:solidFill>
          <w14:schemeClr w14:val="tx1">
            <w14:lumMod w14:val="50000"/>
            <w14:lumOff w14:val="50000"/>
          </w14:schemeClr>
        </w14:solidFill>
      </w14:textFill>
    </w:rPr>
  </w:style>
  <w:style w:type="paragraph" w:customStyle="1" w:styleId="50">
    <w:name w:val="图片单位标注"/>
    <w:basedOn w:val="1"/>
    <w:next w:val="51"/>
    <w:qFormat/>
    <w:uiPriority w:val="0"/>
    <w:pPr>
      <w:keepNext/>
      <w:jc w:val="right"/>
    </w:pPr>
    <w:rPr>
      <w:szCs w:val="21"/>
    </w:rPr>
  </w:style>
  <w:style w:type="paragraph" w:customStyle="1" w:styleId="51">
    <w:name w:val="图片居中"/>
    <w:basedOn w:val="1"/>
    <w:qFormat/>
    <w:uiPriority w:val="0"/>
    <w:pPr>
      <w:keepNext/>
      <w:jc w:val="center"/>
    </w:pPr>
    <w:rPr>
      <w:szCs w:val="21"/>
    </w:rPr>
  </w:style>
  <w:style w:type="character" w:customStyle="1" w:styleId="52">
    <w:name w:val="标题 3 Char"/>
    <w:basedOn w:val="14"/>
    <w:link w:val="2"/>
    <w:semiHidden/>
    <w:qFormat/>
    <w:uiPriority w:val="0"/>
    <w:rPr>
      <w:rFonts w:ascii="Calibri" w:hAnsi="Calibri"/>
      <w:b/>
      <w:bCs/>
      <w:kern w:val="2"/>
      <w:sz w:val="32"/>
      <w:szCs w:val="32"/>
    </w:rPr>
  </w:style>
  <w:style w:type="paragraph" w:customStyle="1" w:styleId="53">
    <w:name w:val="Char"/>
    <w:basedOn w:val="1"/>
    <w:qFormat/>
    <w:uiPriority w:val="0"/>
    <w:pPr>
      <w:widowControl/>
      <w:spacing w:after="160" w:line="240" w:lineRule="exact"/>
      <w:jc w:val="left"/>
    </w:pPr>
    <w:rPr>
      <w:rFonts w:ascii="Times New Roman" w:hAnsi="Times New Roman"/>
      <w:szCs w:val="20"/>
    </w:rPr>
  </w:style>
  <w:style w:type="paragraph" w:customStyle="1" w:styleId="54">
    <w:name w:val="前言、引言标题"/>
    <w:next w:val="1"/>
    <w:qFormat/>
    <w:uiPriority w:val="0"/>
    <w:pPr>
      <w:shd w:val="clear" w:color="auto" w:fill="FFFFFF"/>
      <w:spacing w:before="640" w:after="560"/>
      <w:jc w:val="center"/>
      <w:outlineLvl w:val="0"/>
    </w:pPr>
    <w:rPr>
      <w:rFonts w:ascii="黑体" w:hAnsi="Times New Roman" w:eastAsia="黑体" w:cs="Times New Roman"/>
      <w:sz w:val="32"/>
      <w:lang w:val="en-US" w:eastAsia="zh-CN" w:bidi="ar-SA"/>
    </w:rPr>
  </w:style>
  <w:style w:type="paragraph" w:customStyle="1" w:styleId="55">
    <w:name w:val="三级条标题"/>
    <w:basedOn w:val="26"/>
    <w:next w:val="1"/>
    <w:qFormat/>
    <w:uiPriority w:val="0"/>
    <w:pPr>
      <w:numPr>
        <w:ilvl w:val="0"/>
        <w:numId w:val="0"/>
      </w:numPr>
      <w:spacing w:before="0" w:beforeLines="0" w:after="0" w:afterLines="0"/>
      <w:jc w:val="both"/>
      <w:outlineLvl w:val="4"/>
    </w:pPr>
    <w:rPr>
      <w:szCs w:val="20"/>
    </w:rPr>
  </w:style>
  <w:style w:type="paragraph" w:customStyle="1" w:styleId="56">
    <w:name w:val="五级条标题"/>
    <w:basedOn w:val="27"/>
    <w:next w:val="1"/>
    <w:qFormat/>
    <w:uiPriority w:val="0"/>
    <w:pPr>
      <w:numPr>
        <w:ilvl w:val="0"/>
        <w:numId w:val="0"/>
      </w:numPr>
      <w:spacing w:beforeLines="0" w:afterLines="0"/>
      <w:jc w:val="both"/>
      <w:outlineLvl w:val="6"/>
    </w:pPr>
    <w:rPr>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8FE176-59C5-42E0-9DFA-5160CA2C5FF7}">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13</Pages>
  <Words>9355</Words>
  <Characters>10105</Characters>
  <Lines>84</Lines>
  <Paragraphs>23</Paragraphs>
  <TotalTime>5</TotalTime>
  <ScaleCrop>false</ScaleCrop>
  <LinksUpToDate>false</LinksUpToDate>
  <CharactersWithSpaces>10227</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2019-08-01T02:54:00Z</dcterms:created>
  <dc:creator>User</dc:creator>
  <cp:lastModifiedBy>Lenovo</cp:lastModifiedBy>
  <dcterms:modified xsi:type="dcterms:W3CDTF">2024-09-12T01:42:08Z</dcterms:modified>
  <cp:revision>407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3BEFAA37DFAD4AC6BC13EBFABA7236A9</vt:lpwstr>
  </property>
</Properties>
</file>