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黑体"/>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2</w:t>
      </w:r>
    </w:p>
    <w:p>
      <w:pPr>
        <w:spacing w:before="156" w:beforeLines="50" w:after="156" w:afterLines="50"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广州期货交易所</w:t>
      </w:r>
      <w:r>
        <w:rPr>
          <w:rFonts w:hint="eastAsia" w:ascii="方正小标宋简体" w:hAnsi="方正小标宋简体" w:eastAsia="方正小标宋简体" w:cs="方正小标宋简体"/>
          <w:sz w:val="44"/>
          <w:szCs w:val="44"/>
        </w:rPr>
        <w:t>碳酸锂期货合约</w:t>
      </w:r>
    </w:p>
    <w:tbl>
      <w:tblPr>
        <w:tblStyle w:val="4"/>
        <w:tblW w:w="82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51"/>
        <w:gridCol w:w="5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合约标的物</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碳酸锂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交易单位</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bCs/>
                <w:sz w:val="32"/>
                <w:szCs w:val="32"/>
              </w:rPr>
              <w:t>1吨/手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报价单位</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元（人民币）/吨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最小变动价位</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bCs/>
                <w:sz w:val="32"/>
                <w:szCs w:val="32"/>
              </w:rPr>
              <w:t>20元/吨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涨跌停板幅度</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上一交易日结算价±4%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合约交割月份</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1、2、3、4、5、6、7、8、9、10、11、12月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交易时间</w:t>
            </w:r>
          </w:p>
        </w:tc>
        <w:tc>
          <w:tcPr>
            <w:tcW w:w="5472" w:type="dxa"/>
            <w:shd w:val="clear" w:color="auto" w:fill="auto"/>
            <w:tcMar>
              <w:top w:w="15" w:type="dxa"/>
              <w:left w:w="108" w:type="dxa"/>
              <w:bottom w:w="0" w:type="dxa"/>
              <w:right w:w="108" w:type="dxa"/>
            </w:tcMar>
            <w:vAlign w:val="center"/>
          </w:tcPr>
          <w:p>
            <w:pPr>
              <w:widowControl/>
              <w:rPr>
                <w:rFonts w:cs="Times New Roman"/>
                <w:szCs w:val="32"/>
              </w:rPr>
            </w:pPr>
            <w:r>
              <w:rPr>
                <w:rFonts w:ascii="Times New Roman" w:hAnsi="Times New Roman" w:eastAsia="仿宋_GB2312" w:cs="Times New Roman"/>
                <w:sz w:val="32"/>
                <w:szCs w:val="32"/>
              </w:rPr>
              <w:t>上午9:00－11:30，下午13:30－15:00，以及交易所规定的其他时间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最后交易日</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合约月份第10个交易日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最后交割日</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最后交易日后</w:t>
            </w:r>
            <w:r>
              <w:rPr>
                <w:rFonts w:hint="eastAsia" w:cs="Times New Roman"/>
                <w:sz w:val="32"/>
                <w:szCs w:val="32"/>
              </w:rPr>
              <w:t>的</w:t>
            </w:r>
            <w:r>
              <w:rPr>
                <w:rFonts w:ascii="Times New Roman" w:hAnsi="Times New Roman" w:eastAsia="仿宋_GB2312" w:cs="Times New Roman"/>
                <w:sz w:val="32"/>
                <w:szCs w:val="32"/>
              </w:rPr>
              <w:t>第3个交易日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交割品级</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见《广州期货交易所碳酸锂期货、期权业务细则》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交割地点</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交易所指定交割库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color w:val="000000"/>
                <w:szCs w:val="32"/>
              </w:rPr>
            </w:pPr>
            <w:r>
              <w:rPr>
                <w:rFonts w:ascii="Times New Roman" w:hAnsi="Times New Roman" w:eastAsia="仿宋_GB2312" w:cs="Times New Roman"/>
                <w:color w:val="000000"/>
                <w:sz w:val="32"/>
                <w:szCs w:val="32"/>
              </w:rPr>
              <w:t>最低交易保证金</w:t>
            </w:r>
          </w:p>
        </w:tc>
        <w:tc>
          <w:tcPr>
            <w:tcW w:w="5472" w:type="dxa"/>
            <w:shd w:val="clear" w:color="auto" w:fill="auto"/>
            <w:tcMar>
              <w:top w:w="15" w:type="dxa"/>
              <w:left w:w="108" w:type="dxa"/>
              <w:bottom w:w="0" w:type="dxa"/>
              <w:right w:w="108" w:type="dxa"/>
            </w:tcMar>
            <w:vAlign w:val="center"/>
          </w:tcPr>
          <w:p>
            <w:pPr>
              <w:widowControl/>
              <w:rPr>
                <w:rFonts w:cs="Times New Roman"/>
                <w:szCs w:val="32"/>
              </w:rPr>
            </w:pPr>
            <w:r>
              <w:rPr>
                <w:rFonts w:ascii="Times New Roman" w:hAnsi="Times New Roman" w:eastAsia="仿宋_GB2312" w:cs="Times New Roman"/>
                <w:bCs/>
                <w:sz w:val="32"/>
                <w:szCs w:val="32"/>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交割方式</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实物交割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交易代码</w:t>
            </w:r>
          </w:p>
        </w:tc>
        <w:tc>
          <w:tcPr>
            <w:tcW w:w="5472" w:type="dxa"/>
            <w:shd w:val="clear" w:color="auto" w:fill="auto"/>
            <w:tcMar>
              <w:top w:w="15" w:type="dxa"/>
              <w:left w:w="108" w:type="dxa"/>
              <w:bottom w:w="0" w:type="dxa"/>
              <w:right w:w="108" w:type="dxa"/>
            </w:tcMar>
            <w:vAlign w:val="center"/>
          </w:tcPr>
          <w:p>
            <w:pPr>
              <w:widowControl/>
              <w:rPr>
                <w:rFonts w:cs="Times New Roman"/>
                <w:bCs/>
                <w:szCs w:val="32"/>
              </w:rPr>
            </w:pPr>
            <w:r>
              <w:rPr>
                <w:rFonts w:ascii="Times New Roman" w:hAnsi="Times New Roman" w:eastAsia="仿宋_GB2312" w:cs="Times New Roman"/>
                <w:bCs/>
                <w:sz w:val="32"/>
                <w:szCs w:val="32"/>
              </w:rPr>
              <w:t>LC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751"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color w:val="000000"/>
                <w:sz w:val="32"/>
                <w:szCs w:val="32"/>
              </w:rPr>
              <w:t>上市交易所</w:t>
            </w:r>
          </w:p>
        </w:tc>
        <w:tc>
          <w:tcPr>
            <w:tcW w:w="5472" w:type="dxa"/>
            <w:shd w:val="clear" w:color="auto" w:fill="auto"/>
            <w:tcMar>
              <w:top w:w="15" w:type="dxa"/>
              <w:left w:w="108" w:type="dxa"/>
              <w:bottom w:w="0" w:type="dxa"/>
              <w:right w:w="108" w:type="dxa"/>
            </w:tcMar>
            <w:vAlign w:val="center"/>
          </w:tcPr>
          <w:p>
            <w:pPr>
              <w:widowControl/>
              <w:rPr>
                <w:rFonts w:cs="Times New Roman"/>
                <w:kern w:val="0"/>
                <w:szCs w:val="32"/>
              </w:rPr>
            </w:pPr>
            <w:r>
              <w:rPr>
                <w:rFonts w:ascii="Times New Roman" w:hAnsi="Times New Roman" w:eastAsia="仿宋_GB2312" w:cs="Times New Roman"/>
                <w:sz w:val="32"/>
                <w:szCs w:val="32"/>
              </w:rPr>
              <w:t>广州期货交易所</w:t>
            </w:r>
          </w:p>
        </w:tc>
      </w:tr>
    </w:tbl>
    <w:p>
      <w:pPr>
        <w:spacing w:line="240" w:lineRule="atLeast"/>
        <w:outlineLvl w:val="1"/>
        <w:rPr>
          <w:rFonts w:cs="Times New Roman"/>
          <w:sz w:val="24"/>
        </w:rPr>
      </w:pPr>
      <w:r>
        <w:rPr>
          <w:rFonts w:ascii="Times New Roman" w:hAnsi="Times New Roman" w:eastAsia="仿宋_GB2312" w:cs="Times New Roman"/>
          <w:sz w:val="24"/>
        </w:rPr>
        <w:t>注1：交易所可以根据市场情况调整各合约涨跌停板幅度和交易保证金标准。</w:t>
      </w:r>
    </w:p>
    <w:p>
      <w:pPr>
        <w:spacing w:line="240" w:lineRule="atLeast"/>
        <w:outlineLvl w:val="1"/>
      </w:pPr>
      <w:r>
        <w:rPr>
          <w:rFonts w:ascii="Times New Roman" w:hAnsi="Times New Roman" w:eastAsia="仿宋_GB2312" w:cs="Times New Roman"/>
          <w:sz w:val="24"/>
        </w:rPr>
        <w:t>注2：日盘交易分为三个交易小节，分别为第一节9:00－10:15、第二节10:30－11:30和第三节13:30－15:00。</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06AF1"/>
    <w:rsid w:val="B6F1153C"/>
    <w:rsid w:val="EF7DE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2024-11-28T08:55:00Z</dcterms:created>
  <dc:creator>admin</dc:creator>
  <cp:lastModifiedBy>linwy</cp:lastModifiedBy>
  <dcterms:modified xsi:type="dcterms:W3CDTF">2024-12-06T09:19:39Z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DABDBA0F251B4938B01B1420978C9207</vt:lpwstr>
  </property>
</Properties>
</file>