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黑体" w:hAnsi="黑体" w:eastAsia="黑体" w:cs="Times New Roman"/>
          <w:sz w:val="32"/>
          <w:szCs w:val="32"/>
        </w:rPr>
      </w:pPr>
      <w:r>
        <w:rPr>
          <w:rFonts w:hint="eastAsia" w:ascii="黑体" w:hAnsi="黑体" w:eastAsia="黑体" w:cs="Times New Roman"/>
          <w:sz w:val="32"/>
          <w:szCs w:val="32"/>
        </w:rPr>
        <w:t>附件</w:t>
      </w:r>
      <w:r>
        <w:rPr>
          <w:rFonts w:hint="default" w:ascii="Times New Roman" w:hAnsi="Times New Roman" w:eastAsia="黑体" w:cs="Times New Roman"/>
          <w:sz w:val="32"/>
          <w:szCs w:val="32"/>
        </w:rPr>
        <w:t>1</w:t>
      </w:r>
    </w:p>
    <w:p>
      <w:pPr>
        <w:spacing w:line="560" w:lineRule="exact"/>
        <w:rPr>
          <w:rFonts w:ascii="Times New Roman" w:hAnsi="Times New Roman" w:eastAsia="仿宋" w:cs="Times New Roman"/>
        </w:rPr>
      </w:pPr>
    </w:p>
    <w:p>
      <w:pPr>
        <w:adjustRightInd w:val="0"/>
        <w:snapToGrid w:val="0"/>
        <w:spacing w:line="560" w:lineRule="exact"/>
        <w:jc w:val="center"/>
        <w:outlineLvl w:val="0"/>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广州期货交易所碳酸锂期货、期权业务细则</w:t>
      </w:r>
    </w:p>
    <w:p>
      <w:pPr>
        <w:spacing w:line="560" w:lineRule="exact"/>
        <w:jc w:val="center"/>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w:t>
      </w:r>
      <w:r>
        <w:rPr>
          <w:rFonts w:hint="default" w:ascii="Times New Roman" w:hAnsi="Times New Roman" w:eastAsia="仿宋_GB2312" w:cs="Times New Roman"/>
          <w:sz w:val="32"/>
          <w:szCs w:val="22"/>
          <w:highlight w:val="none"/>
        </w:rPr>
        <w:t>2024年</w:t>
      </w:r>
      <w:r>
        <w:rPr>
          <w:rFonts w:hint="default" w:ascii="Times New Roman" w:hAnsi="Times New Roman" w:eastAsia="仿宋_GB2312" w:cs="Times New Roman"/>
          <w:sz w:val="32"/>
          <w:szCs w:val="22"/>
          <w:highlight w:val="none"/>
          <w:lang w:val="en-US" w:eastAsia="zh-CN"/>
        </w:rPr>
        <w:t>12</w:t>
      </w:r>
      <w:r>
        <w:rPr>
          <w:rFonts w:hint="default" w:ascii="Times New Roman" w:hAnsi="Times New Roman" w:eastAsia="仿宋_GB2312" w:cs="Times New Roman"/>
          <w:sz w:val="32"/>
          <w:szCs w:val="22"/>
          <w:highlight w:val="none"/>
        </w:rPr>
        <w:t>月</w:t>
      </w:r>
      <w:r>
        <w:rPr>
          <w:rFonts w:hint="default" w:ascii="Times New Roman" w:hAnsi="Times New Roman" w:eastAsia="仿宋_GB2312" w:cs="Times New Roman"/>
          <w:sz w:val="32"/>
          <w:szCs w:val="22"/>
          <w:highlight w:val="none"/>
          <w:lang w:val="en-US" w:eastAsia="zh-CN"/>
        </w:rPr>
        <w:t>6</w:t>
      </w:r>
      <w:r>
        <w:rPr>
          <w:rFonts w:hint="default" w:ascii="Times New Roman" w:hAnsi="Times New Roman" w:eastAsia="仿宋_GB2312" w:cs="Times New Roman"/>
          <w:sz w:val="32"/>
          <w:szCs w:val="22"/>
          <w:highlight w:val="none"/>
        </w:rPr>
        <w:t>日</w:t>
      </w:r>
      <w:r>
        <w:rPr>
          <w:rFonts w:hint="default" w:ascii="Times New Roman" w:hAnsi="Times New Roman" w:eastAsia="仿宋_GB2312" w:cs="Times New Roman"/>
          <w:sz w:val="32"/>
          <w:szCs w:val="22"/>
        </w:rPr>
        <w:t>广期所发〔2024〕</w:t>
      </w:r>
      <w:r>
        <w:rPr>
          <w:rFonts w:hint="default" w:ascii="Times New Roman" w:hAnsi="Times New Roman" w:eastAsia="仿宋_GB2312" w:cs="Times New Roman"/>
          <w:sz w:val="32"/>
          <w:szCs w:val="22"/>
          <w:lang w:val="en-US" w:eastAsia="zh-CN"/>
        </w:rPr>
        <w:t>336</w:t>
      </w:r>
      <w:r>
        <w:rPr>
          <w:rFonts w:hint="default" w:ascii="Times New Roman" w:hAnsi="Times New Roman" w:eastAsia="仿宋_GB2312" w:cs="Times New Roman"/>
          <w:sz w:val="32"/>
          <w:szCs w:val="22"/>
        </w:rPr>
        <w:t>号文件发布，第四</w:t>
      </w:r>
      <w:r>
        <w:rPr>
          <w:rFonts w:hint="default" w:ascii="Times New Roman" w:hAnsi="Times New Roman" w:eastAsia="仿宋_GB2312" w:cs="Times New Roman"/>
          <w:sz w:val="32"/>
          <w:szCs w:val="22"/>
          <w:lang w:val="en-US" w:eastAsia="zh-CN"/>
        </w:rPr>
        <w:t>条</w:t>
      </w:r>
      <w:r>
        <w:rPr>
          <w:rFonts w:hint="default" w:ascii="Times New Roman" w:hAnsi="Times New Roman" w:eastAsia="仿宋_GB2312" w:cs="Times New Roman"/>
          <w:sz w:val="32"/>
          <w:szCs w:val="22"/>
        </w:rPr>
        <w:t>、</w:t>
      </w:r>
      <w:r>
        <w:rPr>
          <w:rFonts w:hint="default" w:ascii="Times New Roman" w:hAnsi="Times New Roman" w:eastAsia="仿宋_GB2312" w:cs="Times New Roman"/>
          <w:sz w:val="32"/>
          <w:szCs w:val="22"/>
          <w:lang w:val="en-US" w:eastAsia="zh-CN"/>
        </w:rPr>
        <w:t>第</w:t>
      </w:r>
      <w:r>
        <w:rPr>
          <w:rFonts w:hint="default" w:ascii="Times New Roman" w:hAnsi="Times New Roman" w:eastAsia="仿宋_GB2312" w:cs="Times New Roman"/>
          <w:sz w:val="32"/>
          <w:szCs w:val="22"/>
        </w:rPr>
        <w:t>十三</w:t>
      </w:r>
      <w:r>
        <w:rPr>
          <w:rFonts w:hint="default" w:ascii="Times New Roman" w:hAnsi="Times New Roman" w:eastAsia="仿宋_GB2312" w:cs="Times New Roman"/>
          <w:sz w:val="32"/>
          <w:szCs w:val="22"/>
          <w:lang w:val="en-US" w:eastAsia="zh-CN"/>
        </w:rPr>
        <w:t>条</w:t>
      </w:r>
      <w:r>
        <w:rPr>
          <w:rFonts w:hint="default" w:ascii="Times New Roman" w:hAnsi="Times New Roman" w:eastAsia="仿宋_GB2312" w:cs="Times New Roman"/>
          <w:sz w:val="32"/>
          <w:szCs w:val="22"/>
        </w:rPr>
        <w:t>、</w:t>
      </w:r>
      <w:r>
        <w:rPr>
          <w:rFonts w:hint="default" w:ascii="Times New Roman" w:hAnsi="Times New Roman" w:eastAsia="仿宋_GB2312" w:cs="Times New Roman"/>
          <w:sz w:val="32"/>
          <w:szCs w:val="22"/>
          <w:lang w:val="en-US" w:eastAsia="zh-CN"/>
        </w:rPr>
        <w:t>第</w:t>
      </w:r>
      <w:r>
        <w:rPr>
          <w:rFonts w:hint="default" w:ascii="Times New Roman" w:hAnsi="Times New Roman" w:eastAsia="仿宋_GB2312" w:cs="Times New Roman"/>
          <w:sz w:val="32"/>
          <w:szCs w:val="22"/>
        </w:rPr>
        <w:t>十四条的修改适用于碳酸锂期货LC25</w:t>
      </w:r>
      <w:r>
        <w:rPr>
          <w:rFonts w:hint="default" w:ascii="Times New Roman" w:hAnsi="Times New Roman" w:eastAsia="仿宋_GB2312" w:cs="Times New Roman"/>
          <w:sz w:val="32"/>
          <w:szCs w:val="22"/>
          <w:lang w:val="en-US" w:eastAsia="zh-CN"/>
        </w:rPr>
        <w:t>12</w:t>
      </w:r>
      <w:r>
        <w:rPr>
          <w:rFonts w:hint="default" w:ascii="Times New Roman" w:hAnsi="Times New Roman" w:eastAsia="仿宋_GB2312" w:cs="Times New Roman"/>
          <w:sz w:val="32"/>
          <w:szCs w:val="22"/>
        </w:rPr>
        <w:t>合约及以后合约</w:t>
      </w:r>
      <w:r>
        <w:rPr>
          <w:rFonts w:hint="default" w:ascii="Times New Roman" w:hAnsi="Times New Roman" w:eastAsia="仿宋_GB2312" w:cs="Times New Roman"/>
          <w:sz w:val="32"/>
          <w:szCs w:val="22"/>
          <w:lang w:eastAsia="zh-CN"/>
        </w:rPr>
        <w:t>，</w:t>
      </w:r>
      <w:r>
        <w:rPr>
          <w:rFonts w:hint="default" w:ascii="Times New Roman" w:hAnsi="Times New Roman" w:eastAsia="仿宋_GB2312" w:cs="Times New Roman"/>
          <w:sz w:val="32"/>
          <w:szCs w:val="22"/>
          <w:lang w:val="en-US" w:eastAsia="zh-CN"/>
        </w:rPr>
        <w:t>第十条的修改自</w:t>
      </w:r>
      <w:r>
        <w:rPr>
          <w:rFonts w:hint="default" w:ascii="Times New Roman" w:hAnsi="Times New Roman" w:eastAsia="仿宋_GB2312" w:cs="Times New Roman"/>
          <w:sz w:val="32"/>
          <w:szCs w:val="22"/>
          <w:highlight w:val="none"/>
          <w:lang w:val="en-US" w:eastAsia="zh-CN"/>
        </w:rPr>
        <w:t>2024年12月17日</w:t>
      </w:r>
      <w:r>
        <w:rPr>
          <w:rFonts w:hint="default" w:ascii="Times New Roman" w:hAnsi="Times New Roman" w:eastAsia="仿宋_GB2312" w:cs="Times New Roman"/>
          <w:sz w:val="32"/>
          <w:szCs w:val="22"/>
          <w:lang w:val="en-US" w:eastAsia="zh-CN"/>
        </w:rPr>
        <w:t>结算时起实施，其他修改自</w:t>
      </w:r>
      <w:r>
        <w:rPr>
          <w:rFonts w:hint="default" w:ascii="Times New Roman" w:hAnsi="Times New Roman" w:eastAsia="仿宋_GB2312" w:cs="Times New Roman"/>
          <w:sz w:val="32"/>
          <w:szCs w:val="22"/>
          <w:highlight w:val="none"/>
          <w:lang w:val="en-US" w:eastAsia="zh-CN"/>
        </w:rPr>
        <w:t>20</w:t>
      </w:r>
      <w:bookmarkStart w:id="0" w:name="_GoBack"/>
      <w:bookmarkEnd w:id="0"/>
      <w:r>
        <w:rPr>
          <w:rFonts w:hint="default" w:ascii="Times New Roman" w:hAnsi="Times New Roman" w:eastAsia="仿宋_GB2312" w:cs="Times New Roman"/>
          <w:sz w:val="32"/>
          <w:szCs w:val="22"/>
          <w:highlight w:val="none"/>
          <w:lang w:val="en-US" w:eastAsia="zh-CN"/>
        </w:rPr>
        <w:t>24年12月17日</w:t>
      </w:r>
      <w:r>
        <w:rPr>
          <w:rFonts w:hint="default" w:ascii="Times New Roman" w:hAnsi="Times New Roman" w:eastAsia="仿宋_GB2312" w:cs="Times New Roman"/>
          <w:sz w:val="32"/>
          <w:szCs w:val="22"/>
          <w:lang w:val="en-US" w:eastAsia="zh-CN"/>
        </w:rPr>
        <w:t>起实施</w:t>
      </w:r>
      <w:r>
        <w:rPr>
          <w:rFonts w:hint="default" w:ascii="Times New Roman" w:hAnsi="Times New Roman" w:eastAsia="仿宋_GB2312" w:cs="Times New Roman"/>
          <w:sz w:val="32"/>
          <w:szCs w:val="22"/>
        </w:rPr>
        <w:t>）</w:t>
      </w:r>
    </w:p>
    <w:p>
      <w:pPr>
        <w:spacing w:line="560" w:lineRule="exact"/>
        <w:rPr>
          <w:rFonts w:ascii="Times New Roman" w:hAnsi="Times New Roman" w:eastAsia="仿宋" w:cs="Times New Roman"/>
          <w:sz w:val="32"/>
          <w:szCs w:val="22"/>
        </w:rPr>
      </w:pPr>
    </w:p>
    <w:p>
      <w:pPr>
        <w:spacing w:line="560" w:lineRule="exact"/>
        <w:jc w:val="center"/>
        <w:rPr>
          <w:rFonts w:hint="default" w:ascii="Times New Roman" w:hAnsi="Times New Roman" w:eastAsia="仿宋_GB2312" w:cs="Times New Roman"/>
          <w:b/>
          <w:bCs/>
          <w:sz w:val="32"/>
          <w:szCs w:val="22"/>
        </w:rPr>
      </w:pPr>
      <w:r>
        <w:rPr>
          <w:rFonts w:hint="default" w:ascii="Times New Roman" w:hAnsi="Times New Roman" w:eastAsia="仿宋_GB2312" w:cs="Times New Roman"/>
          <w:b/>
          <w:bCs/>
          <w:sz w:val="32"/>
          <w:szCs w:val="22"/>
        </w:rPr>
        <w:t>第一章 总则</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为规范广州期货交易所（以下简称交易所）碳酸锂期货、期权合约交易行为，根据《广州期货交易所交易规则》《广州期货交易所碳酸锂期货合约》《广州期货交易所碳酸锂期权合约》，制定本细则。</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交易所、会员、境外特殊参与者、境外中介机构、客户、指定交割库、指定质量检验机构、指定期货保证金存管银行及期货市场其他参与者应当遵守本细则。</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本细则未规定的，按照交易所相关业务规则的规定执行。</w:t>
      </w:r>
    </w:p>
    <w:p>
      <w:pPr>
        <w:spacing w:line="560" w:lineRule="exact"/>
        <w:jc w:val="center"/>
        <w:rPr>
          <w:rFonts w:hint="default" w:ascii="Times New Roman" w:hAnsi="Times New Roman" w:eastAsia="仿宋_GB2312" w:cs="Times New Roman"/>
          <w:b/>
          <w:bCs/>
          <w:sz w:val="32"/>
          <w:szCs w:val="22"/>
        </w:rPr>
      </w:pPr>
    </w:p>
    <w:p>
      <w:pPr>
        <w:spacing w:line="560" w:lineRule="exact"/>
        <w:jc w:val="center"/>
        <w:rPr>
          <w:rFonts w:hint="default" w:ascii="Times New Roman" w:hAnsi="Times New Roman" w:eastAsia="仿宋_GB2312" w:cs="Times New Roman"/>
          <w:b/>
          <w:bCs/>
          <w:sz w:val="32"/>
          <w:szCs w:val="22"/>
        </w:rPr>
      </w:pPr>
      <w:r>
        <w:rPr>
          <w:rFonts w:hint="default" w:ascii="Times New Roman" w:hAnsi="Times New Roman" w:eastAsia="仿宋_GB2312" w:cs="Times New Roman"/>
          <w:b/>
          <w:bCs/>
          <w:sz w:val="32"/>
          <w:szCs w:val="22"/>
        </w:rPr>
        <w:t>第二章 合约主要条款和相关参数</w:t>
      </w:r>
    </w:p>
    <w:p>
      <w:pPr>
        <w:spacing w:line="560" w:lineRule="exact"/>
        <w:jc w:val="center"/>
        <w:rPr>
          <w:rFonts w:hint="default" w:ascii="Times New Roman" w:hAnsi="Times New Roman" w:eastAsia="仿宋_GB2312" w:cs="Times New Roman"/>
          <w:b/>
          <w:bCs/>
          <w:sz w:val="32"/>
          <w:szCs w:val="22"/>
        </w:rPr>
      </w:pPr>
      <w:r>
        <w:rPr>
          <w:rFonts w:hint="default" w:ascii="Times New Roman" w:hAnsi="Times New Roman" w:eastAsia="仿宋_GB2312" w:cs="Times New Roman"/>
          <w:b/>
          <w:bCs/>
          <w:sz w:val="32"/>
          <w:szCs w:val="22"/>
        </w:rPr>
        <w:t>第一节 期货合约</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碳酸锂期货合约交割标准品的质量标准适用国家有色金属行业标准及本细则规定。</w:t>
      </w:r>
    </w:p>
    <w:p>
      <w:p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基准交割品：符合《中华人民共和国有色金属行业标准 电池级碳酸锂》（YS/T 582-2013）的要求，其中，Li</w:t>
      </w:r>
      <w:r>
        <w:rPr>
          <w:rFonts w:hint="default" w:ascii="Times New Roman" w:hAnsi="Times New Roman" w:eastAsia="仿宋_GB2312" w:cs="Times New Roman"/>
          <w:sz w:val="32"/>
          <w:szCs w:val="22"/>
          <w:vertAlign w:val="subscript"/>
        </w:rPr>
        <w:t>2</w:t>
      </w:r>
      <w:r>
        <w:rPr>
          <w:rFonts w:hint="default" w:ascii="Times New Roman" w:hAnsi="Times New Roman" w:eastAsia="仿宋_GB2312" w:cs="Times New Roman"/>
          <w:sz w:val="32"/>
          <w:szCs w:val="22"/>
        </w:rPr>
        <w:t>CO</w:t>
      </w:r>
      <w:r>
        <w:rPr>
          <w:rFonts w:hint="default" w:ascii="Times New Roman" w:hAnsi="Times New Roman" w:eastAsia="仿宋_GB2312" w:cs="Times New Roman"/>
          <w:sz w:val="32"/>
          <w:szCs w:val="22"/>
          <w:vertAlign w:val="subscript"/>
        </w:rPr>
        <w:t>3</w:t>
      </w:r>
      <w:r>
        <w:rPr>
          <w:rFonts w:hint="default" w:ascii="Times New Roman" w:hAnsi="Times New Roman" w:eastAsia="仿宋_GB2312" w:cs="Times New Roman"/>
          <w:sz w:val="32"/>
          <w:szCs w:val="22"/>
        </w:rPr>
        <w:t>含量≥99.5%，磁性物质含量≤0.00003%，水分含量≤0.25%，Na≤0.025%，Mg≤0.008%，Ca≤0.008%，K≤0.005%，Fe≤0.001%，Zn≤0.0003%，Cu≤0.0003%，Pb≤0.0003%，Si≤0.003%，Al≤0.001%，Mn≤0.0003%，Ni≤0.001%，SO</w:t>
      </w:r>
      <w:r>
        <w:rPr>
          <w:rFonts w:hint="default" w:ascii="Times New Roman" w:hAnsi="Times New Roman" w:eastAsia="仿宋_GB2312" w:cs="Times New Roman"/>
          <w:sz w:val="32"/>
          <w:szCs w:val="22"/>
          <w:vertAlign w:val="subscript"/>
        </w:rPr>
        <w:t>4</w:t>
      </w:r>
      <w:r>
        <w:rPr>
          <w:rFonts w:hint="default" w:ascii="Times New Roman" w:hAnsi="Times New Roman" w:eastAsia="仿宋_GB2312" w:cs="Times New Roman"/>
          <w:sz w:val="32"/>
          <w:szCs w:val="22"/>
          <w:vertAlign w:val="superscript"/>
        </w:rPr>
        <w:t>2-</w:t>
      </w:r>
      <w:r>
        <w:rPr>
          <w:rFonts w:hint="default" w:ascii="Times New Roman" w:hAnsi="Times New Roman" w:eastAsia="仿宋_GB2312" w:cs="Times New Roman"/>
          <w:sz w:val="32"/>
          <w:szCs w:val="22"/>
        </w:rPr>
        <w:t>≤0.08%，Cl≤0.005%，且烧失量</w:t>
      </w:r>
      <w:r>
        <w:rPr>
          <w:rStyle w:val="7"/>
          <w:rFonts w:hint="default" w:ascii="Times New Roman" w:hAnsi="Times New Roman" w:eastAsia="仿宋_GB2312" w:cs="Times New Roman"/>
          <w:sz w:val="32"/>
          <w:szCs w:val="22"/>
        </w:rPr>
        <w:footnoteReference w:id="0"/>
      </w:r>
      <w:r>
        <w:rPr>
          <w:rFonts w:hint="default" w:ascii="Times New Roman" w:hAnsi="Times New Roman" w:eastAsia="仿宋_GB2312" w:cs="Times New Roman"/>
          <w:sz w:val="32"/>
          <w:szCs w:val="22"/>
        </w:rPr>
        <w:t>≤0.50%，B</w:t>
      </w:r>
      <w:r>
        <w:rPr>
          <w:rStyle w:val="7"/>
          <w:rFonts w:hint="default" w:ascii="Times New Roman" w:hAnsi="Times New Roman" w:eastAsia="仿宋_GB2312" w:cs="Times New Roman"/>
          <w:sz w:val="32"/>
          <w:szCs w:val="22"/>
        </w:rPr>
        <w:footnoteReference w:id="1"/>
      </w:r>
      <w:r>
        <w:rPr>
          <w:rFonts w:hint="default" w:ascii="Times New Roman" w:hAnsi="Times New Roman" w:eastAsia="仿宋_GB2312" w:cs="Times New Roman"/>
          <w:sz w:val="32"/>
          <w:szCs w:val="22"/>
        </w:rPr>
        <w:t>≤0.005%，F</w:t>
      </w:r>
      <w:r>
        <w:rPr>
          <w:rStyle w:val="7"/>
          <w:rFonts w:hint="default" w:ascii="Times New Roman" w:hAnsi="Times New Roman" w:eastAsia="仿宋_GB2312" w:cs="Times New Roman"/>
          <w:sz w:val="32"/>
          <w:szCs w:val="22"/>
        </w:rPr>
        <w:footnoteReference w:id="2"/>
      </w:r>
      <w:r>
        <w:rPr>
          <w:rFonts w:hint="default" w:ascii="Times New Roman" w:hAnsi="Times New Roman" w:eastAsia="仿宋_GB2312" w:cs="Times New Roman"/>
          <w:sz w:val="32"/>
          <w:szCs w:val="22"/>
        </w:rPr>
        <w:t>≤0.015%，粒度D</w:t>
      </w:r>
      <w:r>
        <w:rPr>
          <w:rFonts w:hint="default" w:ascii="Times New Roman" w:hAnsi="Times New Roman" w:eastAsia="仿宋_GB2312" w:cs="Times New Roman"/>
          <w:sz w:val="32"/>
          <w:szCs w:val="22"/>
          <w:vertAlign w:val="subscript"/>
        </w:rPr>
        <w:t>10</w:t>
      </w:r>
      <w:r>
        <w:rPr>
          <w:rFonts w:hint="default" w:ascii="Times New Roman" w:hAnsi="Times New Roman" w:eastAsia="仿宋_GB2312" w:cs="Times New Roman"/>
          <w:sz w:val="32"/>
          <w:szCs w:val="22"/>
        </w:rPr>
        <w:t>≥1μm，3μm≤D</w:t>
      </w:r>
      <w:r>
        <w:rPr>
          <w:rFonts w:hint="default" w:ascii="Times New Roman" w:hAnsi="Times New Roman" w:eastAsia="仿宋_GB2312" w:cs="Times New Roman"/>
          <w:sz w:val="32"/>
          <w:szCs w:val="22"/>
          <w:vertAlign w:val="subscript"/>
        </w:rPr>
        <w:t>50</w:t>
      </w:r>
      <w:r>
        <w:rPr>
          <w:rFonts w:hint="default" w:ascii="Times New Roman" w:hAnsi="Times New Roman" w:eastAsia="仿宋_GB2312" w:cs="Times New Roman"/>
          <w:sz w:val="32"/>
          <w:szCs w:val="22"/>
        </w:rPr>
        <w:t>≤8μm，9μm≤D</w:t>
      </w:r>
      <w:r>
        <w:rPr>
          <w:rFonts w:hint="default" w:ascii="Times New Roman" w:hAnsi="Times New Roman" w:eastAsia="仿宋_GB2312" w:cs="Times New Roman"/>
          <w:sz w:val="32"/>
          <w:szCs w:val="22"/>
          <w:vertAlign w:val="subscript"/>
        </w:rPr>
        <w:t>90</w:t>
      </w:r>
      <w:r>
        <w:rPr>
          <w:rFonts w:hint="default" w:ascii="Times New Roman" w:hAnsi="Times New Roman" w:eastAsia="仿宋_GB2312" w:cs="Times New Roman"/>
          <w:sz w:val="32"/>
          <w:szCs w:val="22"/>
        </w:rPr>
        <w:t>≤15μm，其他有害物质不作要求。</w:t>
      </w:r>
    </w:p>
    <w:p>
      <w:p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替代交割品及升贴水：符合《中华人民共和国有色金属行业标准 电池级碳酸锂》（YS/T 582-2013）的要求，其中Li</w:t>
      </w:r>
      <w:r>
        <w:rPr>
          <w:rFonts w:hint="default" w:ascii="Times New Roman" w:hAnsi="Times New Roman" w:eastAsia="仿宋_GB2312" w:cs="Times New Roman"/>
          <w:sz w:val="32"/>
          <w:szCs w:val="22"/>
          <w:vertAlign w:val="subscript"/>
        </w:rPr>
        <w:t>2</w:t>
      </w:r>
      <w:r>
        <w:rPr>
          <w:rFonts w:hint="default" w:ascii="Times New Roman" w:hAnsi="Times New Roman" w:eastAsia="仿宋_GB2312" w:cs="Times New Roman"/>
          <w:sz w:val="32"/>
          <w:szCs w:val="22"/>
        </w:rPr>
        <w:t>CO</w:t>
      </w:r>
      <w:r>
        <w:rPr>
          <w:rFonts w:hint="default" w:ascii="Times New Roman" w:hAnsi="Times New Roman" w:eastAsia="仿宋_GB2312" w:cs="Times New Roman"/>
          <w:sz w:val="32"/>
          <w:szCs w:val="22"/>
          <w:vertAlign w:val="subscript"/>
        </w:rPr>
        <w:t>3</w:t>
      </w:r>
      <w:r>
        <w:rPr>
          <w:rFonts w:hint="default" w:ascii="Times New Roman" w:hAnsi="Times New Roman" w:eastAsia="仿宋_GB2312" w:cs="Times New Roman"/>
          <w:sz w:val="32"/>
          <w:szCs w:val="22"/>
        </w:rPr>
        <w:t>含量≥99.2%，水分含量≤0.3%，Na≤0.08%，Mg≤0.015%，Ca≤0.025%，K≤0.02%，Fe≤0.002%，SO</w:t>
      </w:r>
      <w:r>
        <w:rPr>
          <w:rFonts w:hint="default" w:ascii="Times New Roman" w:hAnsi="Times New Roman" w:eastAsia="仿宋_GB2312" w:cs="Times New Roman"/>
          <w:sz w:val="32"/>
          <w:szCs w:val="22"/>
          <w:vertAlign w:val="subscript"/>
        </w:rPr>
        <w:t>4</w:t>
      </w:r>
      <w:r>
        <w:rPr>
          <w:rFonts w:hint="default" w:ascii="Times New Roman" w:hAnsi="Times New Roman" w:eastAsia="仿宋_GB2312" w:cs="Times New Roman"/>
          <w:sz w:val="32"/>
          <w:szCs w:val="22"/>
          <w:vertAlign w:val="superscript"/>
        </w:rPr>
        <w:t>2-</w:t>
      </w:r>
      <w:r>
        <w:rPr>
          <w:rFonts w:hint="default" w:ascii="Times New Roman" w:hAnsi="Times New Roman" w:eastAsia="仿宋_GB2312" w:cs="Times New Roman"/>
          <w:sz w:val="32"/>
          <w:szCs w:val="22"/>
        </w:rPr>
        <w:t>≤0.20%，Cl≤0.01%，且F≤0.03%，盐酸不溶物</w:t>
      </w:r>
      <w:r>
        <w:rPr>
          <w:rStyle w:val="7"/>
          <w:rFonts w:hint="default" w:ascii="Times New Roman" w:hAnsi="Times New Roman" w:eastAsia="仿宋_GB2312" w:cs="Times New Roman"/>
          <w:sz w:val="32"/>
          <w:szCs w:val="22"/>
        </w:rPr>
        <w:footnoteReference w:id="3"/>
      </w:r>
      <w:r>
        <w:rPr>
          <w:rFonts w:hint="default" w:ascii="Times New Roman" w:hAnsi="Times New Roman" w:eastAsia="仿宋_GB2312" w:cs="Times New Roman"/>
          <w:sz w:val="32"/>
          <w:szCs w:val="22"/>
        </w:rPr>
        <w:t>≤0.005%，磁性物质含量、其他杂质、粒径和有害物质不作要求；贴水15000元/吨。</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碳酸锂期货合约采用实物交割，交割单位为1吨（净重）。</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碳酸锂指定交割库分为基准交割库和非基准交割库（详见《广州期货交易所碳酸锂期货指定交割库名录》），交易所可视情况对碳酸锂指定交割库进行调整。</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碳酸锂期货合约的合约月份为1、2、3、4、5、6、7、8、9、10、11、12月。</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碳酸锂期货合约的交易单位为1吨/手。</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碳酸锂期货合约的报价单位为元（人民币）/吨。</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碳酸锂期货合约的最小变动价位为20元/吨。</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碳酸锂期货合约的交易指令每次最大下单数量为1000手，每次最小下单数量为1手，交易所可根据市场情况进行调整并另行公告。</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碳酸锂期货合约交割月份以前的月份涨跌停板幅度为上一交易日结算价的4%，交割月份的涨跌停板幅度为上一交易日结算价的6%。</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碳酸锂期货合约的最低交易保证金为合约价值的5%。自进入交割月份前1个月第10个交易日起，交易所将分时间段逐步提高合约的交易保证金标准，交易保证金标准为：</w:t>
      </w:r>
    </w:p>
    <w:tbl>
      <w:tblPr>
        <w:tblStyle w:val="5"/>
        <w:tblW w:w="4998" w:type="pct"/>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autofit"/>
        <w:tblCellMar>
          <w:top w:w="45" w:type="dxa"/>
          <w:left w:w="45" w:type="dxa"/>
          <w:bottom w:w="45" w:type="dxa"/>
          <w:right w:w="45" w:type="dxa"/>
        </w:tblCellMar>
      </w:tblPr>
      <w:tblGrid>
        <w:gridCol w:w="4921"/>
        <w:gridCol w:w="3472"/>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45" w:type="dxa"/>
            <w:left w:w="45" w:type="dxa"/>
            <w:bottom w:w="45" w:type="dxa"/>
            <w:right w:w="45" w:type="dxa"/>
          </w:tblCellMar>
        </w:tblPrEx>
        <w:trPr>
          <w:jc w:val="center"/>
        </w:trPr>
        <w:tc>
          <w:tcPr>
            <w:tcW w:w="2931"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kern w:val="0"/>
                <w:sz w:val="32"/>
                <w:szCs w:val="32"/>
                <w:lang w:bidi="ar"/>
              </w:rPr>
              <w:t>交易时间段</w:t>
            </w:r>
          </w:p>
        </w:tc>
        <w:tc>
          <w:tcPr>
            <w:tcW w:w="2068"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kern w:val="0"/>
                <w:sz w:val="32"/>
                <w:szCs w:val="32"/>
                <w:lang w:bidi="ar"/>
              </w:rPr>
              <w:t>交易保证金标准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45" w:type="dxa"/>
            <w:left w:w="45" w:type="dxa"/>
            <w:bottom w:w="45" w:type="dxa"/>
            <w:right w:w="45" w:type="dxa"/>
          </w:tblCellMar>
        </w:tblPrEx>
        <w:trPr>
          <w:jc w:val="center"/>
        </w:trPr>
        <w:tc>
          <w:tcPr>
            <w:tcW w:w="2931"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rPr>
              <w:t>交割月份前1个月第10个交易日起</w:t>
            </w:r>
          </w:p>
        </w:tc>
        <w:tc>
          <w:tcPr>
            <w:tcW w:w="2068"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rPr>
              <w:t>10%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45" w:type="dxa"/>
            <w:left w:w="45" w:type="dxa"/>
            <w:bottom w:w="45" w:type="dxa"/>
            <w:right w:w="45" w:type="dxa"/>
          </w:tblCellMar>
        </w:tblPrEx>
        <w:trPr>
          <w:jc w:val="center"/>
        </w:trPr>
        <w:tc>
          <w:tcPr>
            <w:tcW w:w="2931"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kern w:val="0"/>
                <w:sz w:val="32"/>
                <w:szCs w:val="32"/>
                <w:lang w:bidi="ar"/>
              </w:rPr>
              <w:t>交割月份第1个交易日起</w:t>
            </w:r>
          </w:p>
        </w:tc>
        <w:tc>
          <w:tcPr>
            <w:tcW w:w="2068"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kern w:val="0"/>
                <w:sz w:val="32"/>
                <w:szCs w:val="32"/>
                <w:lang w:bidi="ar"/>
              </w:rPr>
              <w:t>20%</w:t>
            </w:r>
          </w:p>
        </w:tc>
      </w:tr>
    </w:tbl>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碳酸锂期货合约非期货公司会员、境外特殊非经纪参与者、客户持仓限额见下表，交割月份个人客户持仓限额为0手：</w:t>
      </w:r>
    </w:p>
    <w:tbl>
      <w:tblPr>
        <w:tblStyle w:val="5"/>
        <w:tblW w:w="5000" w:type="pct"/>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autofit"/>
        <w:tblCellMar>
          <w:top w:w="45" w:type="dxa"/>
          <w:left w:w="45" w:type="dxa"/>
          <w:bottom w:w="45" w:type="dxa"/>
          <w:right w:w="45" w:type="dxa"/>
        </w:tblCellMar>
      </w:tblPr>
      <w:tblGrid>
        <w:gridCol w:w="4942"/>
        <w:gridCol w:w="1700"/>
        <w:gridCol w:w="1754"/>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45" w:type="dxa"/>
            <w:left w:w="45" w:type="dxa"/>
            <w:bottom w:w="45" w:type="dxa"/>
            <w:right w:w="45" w:type="dxa"/>
          </w:tblCellMar>
        </w:tblPrEx>
        <w:trPr>
          <w:jc w:val="center"/>
        </w:trPr>
        <w:tc>
          <w:tcPr>
            <w:tcW w:w="2943"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kern w:val="0"/>
                <w:sz w:val="32"/>
                <w:szCs w:val="32"/>
                <w:lang w:bidi="ar"/>
              </w:rPr>
              <w:t>时间段</w:t>
            </w:r>
          </w:p>
        </w:tc>
        <w:tc>
          <w:tcPr>
            <w:tcW w:w="2056" w:type="pct"/>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kern w:val="0"/>
                <w:sz w:val="32"/>
                <w:szCs w:val="32"/>
                <w:lang w:bidi="ar"/>
              </w:rPr>
              <w:t>非期货公司会员、境外特殊非经纪参与者、客户</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45" w:type="dxa"/>
            <w:left w:w="45" w:type="dxa"/>
            <w:bottom w:w="45" w:type="dxa"/>
            <w:right w:w="45" w:type="dxa"/>
          </w:tblCellMar>
        </w:tblPrEx>
        <w:trPr>
          <w:jc w:val="center"/>
        </w:trPr>
        <w:tc>
          <w:tcPr>
            <w:tcW w:w="2943" w:type="pct"/>
            <w:vMerge w:val="restart"/>
            <w:tcBorders>
              <w:top w:val="outset" w:color="000000" w:sz="6" w:space="0"/>
              <w:left w:val="outset" w:color="000000" w:sz="6" w:space="0"/>
              <w:right w:val="outset" w:color="000000" w:sz="6" w:space="0"/>
            </w:tcBorders>
            <w:shd w:val="clear" w:color="auto" w:fill="FFFFFF"/>
            <w:vAlign w:val="center"/>
          </w:tcPr>
          <w:p>
            <w:pPr>
              <w:widowControl/>
              <w:jc w:val="center"/>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kern w:val="0"/>
                <w:sz w:val="32"/>
                <w:szCs w:val="32"/>
                <w:lang w:bidi="ar"/>
              </w:rPr>
              <w:t>一般月份</w:t>
            </w:r>
          </w:p>
        </w:tc>
        <w:tc>
          <w:tcPr>
            <w:tcW w:w="1012"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hint="default" w:ascii="Times New Roman" w:hAnsi="Times New Roman" w:eastAsia="仿宋_GB2312" w:cs="Times New Roman"/>
                <w:color w:val="333333"/>
                <w:kern w:val="0"/>
                <w:sz w:val="32"/>
                <w:szCs w:val="32"/>
                <w:lang w:bidi="ar"/>
              </w:rPr>
            </w:pPr>
            <w:r>
              <w:rPr>
                <w:rFonts w:hint="default" w:ascii="Times New Roman" w:hAnsi="Times New Roman" w:eastAsia="仿宋_GB2312" w:cs="Times New Roman"/>
                <w:color w:val="333333"/>
                <w:kern w:val="0"/>
                <w:sz w:val="32"/>
                <w:szCs w:val="32"/>
                <w:lang w:bidi="ar"/>
              </w:rPr>
              <w:t>N&gt;3万手</w:t>
            </w:r>
          </w:p>
        </w:tc>
        <w:tc>
          <w:tcPr>
            <w:tcW w:w="1044"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kern w:val="0"/>
                <w:sz w:val="32"/>
                <w:szCs w:val="32"/>
                <w:lang w:bidi="ar"/>
              </w:rPr>
              <w:t>N×10%手</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45" w:type="dxa"/>
            <w:left w:w="45" w:type="dxa"/>
            <w:bottom w:w="45" w:type="dxa"/>
            <w:right w:w="45" w:type="dxa"/>
          </w:tblCellMar>
        </w:tblPrEx>
        <w:trPr>
          <w:jc w:val="center"/>
        </w:trPr>
        <w:tc>
          <w:tcPr>
            <w:tcW w:w="2943" w:type="pct"/>
            <w:vMerge w:val="continue"/>
            <w:tcBorders>
              <w:left w:val="outset" w:color="000000" w:sz="6" w:space="0"/>
              <w:bottom w:val="outset" w:color="000000" w:sz="6" w:space="0"/>
              <w:right w:val="outset" w:color="000000" w:sz="6" w:space="0"/>
            </w:tcBorders>
            <w:shd w:val="clear" w:color="auto" w:fill="FFFFFF"/>
            <w:vAlign w:val="center"/>
          </w:tcPr>
          <w:p>
            <w:pPr>
              <w:widowControl/>
              <w:jc w:val="center"/>
              <w:rPr>
                <w:rFonts w:hint="default" w:ascii="Times New Roman" w:hAnsi="Times New Roman" w:eastAsia="仿宋_GB2312" w:cs="Times New Roman"/>
                <w:color w:val="333333"/>
                <w:sz w:val="32"/>
                <w:szCs w:val="32"/>
              </w:rPr>
            </w:pPr>
          </w:p>
        </w:tc>
        <w:tc>
          <w:tcPr>
            <w:tcW w:w="1012"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hint="default" w:ascii="Times New Roman" w:hAnsi="Times New Roman" w:eastAsia="仿宋_GB2312" w:cs="Times New Roman"/>
                <w:color w:val="333333"/>
                <w:kern w:val="0"/>
                <w:sz w:val="32"/>
                <w:szCs w:val="32"/>
                <w:lang w:bidi="ar"/>
              </w:rPr>
            </w:pPr>
            <w:r>
              <w:rPr>
                <w:rFonts w:hint="default" w:ascii="Times New Roman" w:hAnsi="Times New Roman" w:eastAsia="仿宋_GB2312" w:cs="Times New Roman"/>
                <w:color w:val="333333"/>
                <w:kern w:val="0"/>
                <w:sz w:val="32"/>
                <w:szCs w:val="32"/>
                <w:lang w:bidi="ar"/>
              </w:rPr>
              <w:t>N≤3万手</w:t>
            </w:r>
          </w:p>
        </w:tc>
        <w:tc>
          <w:tcPr>
            <w:tcW w:w="1044"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kern w:val="0"/>
                <w:sz w:val="32"/>
                <w:szCs w:val="32"/>
                <w:lang w:bidi="ar"/>
              </w:rPr>
              <w:t>3000手</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PrEx>
        <w:trPr>
          <w:jc w:val="center"/>
        </w:trPr>
        <w:tc>
          <w:tcPr>
            <w:tcW w:w="2943"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hint="default" w:ascii="Times New Roman" w:hAnsi="Times New Roman" w:eastAsia="仿宋_GB2312" w:cs="Times New Roman"/>
                <w:color w:val="333333"/>
                <w:kern w:val="0"/>
                <w:sz w:val="32"/>
                <w:szCs w:val="32"/>
                <w:lang w:bidi="ar"/>
              </w:rPr>
            </w:pPr>
            <w:r>
              <w:rPr>
                <w:rFonts w:hint="default" w:ascii="Times New Roman" w:hAnsi="Times New Roman" w:eastAsia="仿宋_GB2312" w:cs="Times New Roman"/>
                <w:bCs/>
                <w:kern w:val="44"/>
                <w:sz w:val="32"/>
                <w:szCs w:val="32"/>
              </w:rPr>
              <w:t>交割月份前1个月第10个交易日起</w:t>
            </w:r>
          </w:p>
        </w:tc>
        <w:tc>
          <w:tcPr>
            <w:tcW w:w="2056" w:type="pct"/>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hint="default" w:ascii="Times New Roman" w:hAnsi="Times New Roman" w:eastAsia="仿宋_GB2312" w:cs="Times New Roman"/>
                <w:color w:val="333333"/>
                <w:kern w:val="0"/>
                <w:sz w:val="32"/>
                <w:szCs w:val="32"/>
                <w:lang w:bidi="ar"/>
              </w:rPr>
            </w:pPr>
            <w:r>
              <w:rPr>
                <w:rFonts w:hint="default" w:ascii="Times New Roman" w:hAnsi="Times New Roman" w:eastAsia="仿宋_GB2312" w:cs="Times New Roman"/>
                <w:bCs/>
                <w:kern w:val="44"/>
                <w:sz w:val="32"/>
                <w:szCs w:val="32"/>
              </w:rPr>
              <w:t>1000手</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45" w:type="dxa"/>
            <w:left w:w="45" w:type="dxa"/>
            <w:bottom w:w="45" w:type="dxa"/>
            <w:right w:w="45" w:type="dxa"/>
          </w:tblCellMar>
        </w:tblPrEx>
        <w:trPr>
          <w:jc w:val="center"/>
        </w:trPr>
        <w:tc>
          <w:tcPr>
            <w:tcW w:w="2943"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hint="default" w:ascii="Times New Roman" w:hAnsi="Times New Roman" w:eastAsia="仿宋_GB2312" w:cs="Times New Roman"/>
                <w:color w:val="333333"/>
                <w:kern w:val="0"/>
                <w:sz w:val="32"/>
                <w:szCs w:val="32"/>
                <w:lang w:bidi="ar"/>
              </w:rPr>
            </w:pPr>
            <w:r>
              <w:rPr>
                <w:rFonts w:hint="default" w:ascii="Times New Roman" w:hAnsi="Times New Roman" w:eastAsia="仿宋_GB2312" w:cs="Times New Roman"/>
                <w:color w:val="333333"/>
                <w:kern w:val="0"/>
                <w:sz w:val="32"/>
                <w:szCs w:val="32"/>
                <w:lang w:bidi="ar"/>
              </w:rPr>
              <w:t>交割月份</w:t>
            </w:r>
          </w:p>
        </w:tc>
        <w:tc>
          <w:tcPr>
            <w:tcW w:w="2056" w:type="pct"/>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hint="default" w:ascii="Times New Roman" w:hAnsi="Times New Roman" w:eastAsia="仿宋_GB2312" w:cs="Times New Roman"/>
                <w:color w:val="333333"/>
                <w:kern w:val="0"/>
                <w:sz w:val="32"/>
                <w:szCs w:val="32"/>
                <w:lang w:bidi="ar"/>
              </w:rPr>
            </w:pPr>
            <w:r>
              <w:rPr>
                <w:rFonts w:hint="default" w:ascii="Times New Roman" w:hAnsi="Times New Roman" w:eastAsia="仿宋_GB2312" w:cs="Times New Roman"/>
                <w:color w:val="333333"/>
                <w:kern w:val="0"/>
                <w:sz w:val="32"/>
                <w:szCs w:val="32"/>
                <w:lang w:bidi="ar"/>
              </w:rPr>
              <w:t>300手</w:t>
            </w:r>
          </w:p>
        </w:tc>
      </w:tr>
    </w:tbl>
    <w:p>
      <w:p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注：N为某一合约单边持仓总量。</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非期货公司会员、境外特殊非经纪参与者、客户碳酸锂期货合约大户报告标准为交易所对其规定的持仓限额的80%（含本数）。</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碳酸锂期货合约的最后交易日为合约月份的第10个交易日。</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碳酸锂期货合约的最后交割日为最后交易日后的第3个交易日。</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碳酸锂期货合约的交易代码为LC。</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碳酸锂期货合约当日结算价是指期货合约当日成交价格按照成交量的加权平均价。</w:t>
      </w:r>
    </w:p>
    <w:p>
      <w:pPr>
        <w:spacing w:line="560" w:lineRule="exact"/>
        <w:jc w:val="center"/>
        <w:rPr>
          <w:rFonts w:hint="default" w:ascii="Times New Roman" w:hAnsi="Times New Roman" w:eastAsia="仿宋_GB2312" w:cs="Times New Roman"/>
          <w:b/>
          <w:bCs/>
          <w:sz w:val="32"/>
          <w:szCs w:val="22"/>
        </w:rPr>
      </w:pPr>
      <w:r>
        <w:rPr>
          <w:rFonts w:hint="default" w:ascii="Times New Roman" w:hAnsi="Times New Roman" w:eastAsia="仿宋_GB2312" w:cs="Times New Roman"/>
          <w:b/>
          <w:bCs/>
          <w:sz w:val="32"/>
          <w:szCs w:val="22"/>
        </w:rPr>
        <w:t>第二节 期权合约</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碳酸锂期权合约的标的物为碳酸锂期货合约。</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碳酸锂期权合约交易代码为LC－合约月份－C/P－行权价格，其中，LC是碳酸锂期货的代码，C和P分别代表看涨期权和看跌期权的合约类型代码。</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碳酸锂期权合约的交易单位为1手（1吨）碳酸锂期货合约。</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碳酸锂期权合约的报价单位为元（人民币）/吨。</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碳酸锂期权合约的最小变动价位为10元/吨。</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碳酸锂期权合约行权方式为美式，买方在合约到期日及其之前任一交易日均可行使权利。</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碳酸锂期权合约月份为1、2、3、4、5、6、7、8、9、10、11、12月。</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碳酸锂期权合约行权价格覆盖标的碳酸锂期货合约上一交易日结算价上下浮动1.5倍当日涨跌停板幅度对应的价格范围。</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碳酸锂期权合约的行权价格间距设置为：行权价格≤100000元/吨，行权价格间距为1000元/吨；100000元/吨&lt;行权价格≤300000元/吨，行权价格间距为2000元/吨；行权价格＞300000元/吨，行权价格间距为5000元/吨。</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碳酸锂期权合约交易时间与碳酸锂期货合约交易时间一致。</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碳酸锂期权合约最后交易日为标的期货合约交割月份前1个月的第5个交易日。</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碳酸锂期权合约的交易指令每次最大下单数量为1000手，每次最小下单数量为1手，交易所可根据市场情况进行调整并另行公告。</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非期货公司会员、境外特殊非经纪参与者、客户持有的碳酸锂期权某月份期权合约中所有看涨期权的买持仓量和看跌期权的卖持仓量之和、看跌期权的买持仓量和看涨期权的卖持仓量之和，分别不得超过3000手。</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非期货公司会员、境外特殊非经纪参与者、客户碳酸锂期权合约大户报告标准为交易所对其规定的持仓限额的80%（含本数）。</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其他交易、结算、风控措施具体参照《广州期货交易所交易管理办法》《广州期货交易所结算管理办法》《广州期货交易所风险管理办法》等有关规定。</w:t>
      </w:r>
    </w:p>
    <w:p>
      <w:pPr>
        <w:spacing w:line="560" w:lineRule="exact"/>
        <w:jc w:val="center"/>
        <w:rPr>
          <w:rFonts w:hint="default" w:ascii="Times New Roman" w:hAnsi="Times New Roman" w:eastAsia="仿宋_GB2312" w:cs="Times New Roman"/>
          <w:b/>
          <w:bCs/>
          <w:sz w:val="32"/>
          <w:szCs w:val="22"/>
        </w:rPr>
      </w:pPr>
    </w:p>
    <w:p>
      <w:pPr>
        <w:spacing w:line="560" w:lineRule="exact"/>
        <w:jc w:val="center"/>
        <w:rPr>
          <w:rFonts w:hint="default" w:ascii="Times New Roman" w:hAnsi="Times New Roman" w:eastAsia="仿宋_GB2312" w:cs="Times New Roman"/>
          <w:b/>
          <w:bCs/>
          <w:sz w:val="32"/>
          <w:szCs w:val="22"/>
        </w:rPr>
      </w:pPr>
      <w:r>
        <w:rPr>
          <w:rFonts w:hint="default" w:ascii="Times New Roman" w:hAnsi="Times New Roman" w:eastAsia="仿宋_GB2312" w:cs="Times New Roman"/>
          <w:b/>
          <w:bCs/>
          <w:sz w:val="32"/>
          <w:szCs w:val="22"/>
        </w:rPr>
        <w:t>第三章 交割业务</w:t>
      </w:r>
    </w:p>
    <w:p>
      <w:pPr>
        <w:spacing w:line="560" w:lineRule="exact"/>
        <w:jc w:val="center"/>
        <w:rPr>
          <w:rFonts w:hint="default" w:ascii="Times New Roman" w:hAnsi="Times New Roman" w:eastAsia="仿宋_GB2312" w:cs="Times New Roman"/>
          <w:b/>
          <w:bCs/>
          <w:sz w:val="32"/>
          <w:szCs w:val="22"/>
        </w:rPr>
      </w:pPr>
      <w:r>
        <w:rPr>
          <w:rFonts w:hint="default" w:ascii="Times New Roman" w:hAnsi="Times New Roman" w:eastAsia="仿宋_GB2312" w:cs="Times New Roman"/>
          <w:b/>
          <w:bCs/>
          <w:sz w:val="32"/>
          <w:szCs w:val="22"/>
        </w:rPr>
        <w:t>第一节 一般规定</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碳酸锂期货合约适用期货转现货（以下简称期转现）、滚动交割和一次性交割。具体交割流程按照《广州期货交易所交割管理办法》《广州期货交易所结算管理办法》及本细则相关规定执行。</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碳酸锂期货标准仓单分为仓库标准仓单和厂库标准仓单。</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碳酸锂期货交割品包装应当符合《中华人民共和国有色金属行业标准 电池级碳酸锂》（YS/T 582-2013）相关规定，应具备内外包装，包装抗压度好，防水防潮，满足运输及存储要求，包装材料符合国家安全标准规定。外包装使用塑料编织袋，内包装使用塑料内膜且扎口，每包货物净重为500公斤。每2包货物放一个托盘打包并附塑料外膜。包装上应标明产品名称、批号、毛重、净重、主含量、生产日期以及厂家信息等内容。</w:t>
      </w:r>
    </w:p>
    <w:p>
      <w:p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碳酸锂期货包装物价格包含在相应期货合约价格中，不另行计价。</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碳酸锂期货交割品按照净重结算，重量以指定交割库称重为准。</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生产日期在60天以内（含当日）的基准交割品和240天以内（含当日）的替代交割品可以申请注册标准仓单。</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每年3月、7月、11月最后一个交易日之前（含当日）注册的碳酸锂期货标准仓单，应当在当年3月、7月、11月的最后一个交易日之前（含当日）全部注销。注销后，未出库且生产日期在60天以内（含当日）的基准交割品和240天以内的替代交割品可以重新申请注册，无需进行质量检验。</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碳酸锂在贮存过程中应防止遇酸或受潮。</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碳酸锂期货交割开具增值税专用发票。</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碳酸锂期货交割仓库、厂库及相关升贴水由交易所确定并公布。交易所可以视情况对碳酸锂期货交割仓库、厂库及相关升贴水进行调整。</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碳酸锂期货交割货款以交割结算价为基础，再加上交割库升贴水、质量升贴水进行结算。</w:t>
      </w:r>
    </w:p>
    <w:p>
      <w:p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碳酸锂期货交割手续费、仓储费、出入库费、检验费等交割相关费用标准由交易所另行规定并公布。</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碳酸锂期货标准仓单生成、流通、注销等相关业务，本细则未规定的，适用《广州期货交易所标准仓单管理办法》相关规定。</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申请成为碳酸锂期货指定交割库，采取由控股子公司作为交割业务实际运营单位模式的，应当对控股子公司的业务开展、场所和人员具备统一管理能力，并经交易所审批同意。控股子公司开展交割业务发生的法律责任，由指定交割库申请人按照交易所规定、要求承担责任。</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申请成为碳酸锂期货交割厂库（以下简称厂库）的，应当在厂库业务与相关期货交易业务之间以及该单位与关联单位之间建立有效的隔离制度，加强对资金、业务、管理、人员、信息系统、营业场所和信息传递等的隔离；建立健全利益冲突识别和管理机制，切实防范风险传导和不当牟利。</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交易所有权就厂库是否利用其自身或其关联企业开展相关期货业务的优势不当牟利进行检查和调查，厂库应予以配合。</w:t>
      </w:r>
    </w:p>
    <w:p>
      <w:pPr>
        <w:spacing w:line="560" w:lineRule="exact"/>
        <w:jc w:val="center"/>
        <w:rPr>
          <w:rFonts w:hint="default" w:ascii="Times New Roman" w:hAnsi="Times New Roman" w:eastAsia="仿宋_GB2312" w:cs="Times New Roman"/>
          <w:b/>
          <w:bCs/>
          <w:sz w:val="32"/>
          <w:szCs w:val="22"/>
        </w:rPr>
      </w:pPr>
      <w:r>
        <w:rPr>
          <w:rFonts w:hint="default" w:ascii="Times New Roman" w:hAnsi="Times New Roman" w:eastAsia="仿宋_GB2312" w:cs="Times New Roman"/>
          <w:b/>
          <w:bCs/>
          <w:sz w:val="32"/>
          <w:szCs w:val="22"/>
        </w:rPr>
        <w:t>第二节 仓库标准仓单交割</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会员办理交割预报时，应当按200元/吨向交易所交纳交割预报定金。</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办理完交割预报的货主在入库前3个自然日之前，应当将车船号、品种、数量、到货时间等通知交割仓库（以下简称仓库），仓库应当合理安排接收商品入库。</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碳酸锂入库时，货主应当向仓库提交本批碳酸锂生产厂家出具的质量证明书。质量证明书应当注明产品名称、生产厂家、批号、净重和包数、生产日期、适用的质量标准和该批产品的质量检验结果等信息。</w:t>
      </w:r>
    </w:p>
    <w:p>
      <w:p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仓库应当按照交易所有关规定对入库商品的质量证明书等相关材料和凭证进行验收。</w:t>
      </w:r>
    </w:p>
    <w:p>
      <w:p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碳酸锂出现破包、潮包、结块、严重污染等情况的，不得入库。</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碳酸锂入库时，仓库对入库商品进行重量验收，碳酸锂重量验收可以采用过地磅同时抽包检斤或者单独抽包检斤的方式进行。</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免检交割品牌的碳酸锂入库时，货主向仓库提交指定生产厂家出具的符合交易所要求的产品质量证明书及交易所规定的其他材料的，可免于质量检验。碳酸锂免检品牌由交易所另行公告。</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仓库应当委托指定质量检验机构对入库商品进行质量检验。检验费用由货主承担，由仓库负责转交。</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入库碳酸锂的取样、制样以及质检由指定质量检验机构负责，按照有关标准和相关作业指导文件执行，仓库应予协助，相关仓库配合检验费用由货主承担。相关费用由交易所另行公告。</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入库碳酸锂的质量检验应以同一厂家、同一品级进行组批，每批10吨，超过10吨的应分若干批检验，不足10吨的按一批检验，每批抽取一个样品，取样包数不低于总包数的四分之一。</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除免检入库的商品外，货主或者仓库对商品检验报告的检验结论有异议的，应当在接到商品检验报告之日起3个工作日内以书面形式向交易所提出复检申请。复检申请应当说明仓库名称和需要复检的商品数量、质量指标、生产厂家及产品品级、批号和货物所在垛位号等，留存联系方式，并加盖提出争议者公章。未在规定时间内以规定方式提出复检申请的，视为同意商品检验报告的检验结论。交易所委托指定质量检验机构进行复检，复检结果为解决争议的依据。复检费用由提出争议者负担。</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仓库应当在货物入库前3个自然日，将到货方式、到货数量、到货时间等相关信息通知指定质量检验机构。</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指定质量检验机构完成碳酸锂质量检验后，应当出具检验报告正本1份，副本3份，并将正本提交仓库，向交易所和货主分别提交副本1份。</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碳酸锂从仓库出库时，持有《提货通知单》或者提货密码的货主应当在实际提货日5个自然日前与仓库联系有关出库事宜，并在标准仓单注销日后10个工作日内（含当日）到仓库提货。</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货主对仓库出库商品质量有异议的，首先与仓库协商解决。协商不成的，货主应当在标准仓单注销之日起10个工作日内（含当日）且货物已交付但未出库的情况下，以书面形式向交易所提出复检申请。复检申请应当说明仓库名称和需要复检的商品数量、质量指标、生产厂家、产品品级和货物所在垛位号等，留存联系方式，并加盖货主公章。未在规定时间内以规定方式提出申请的，视为货主对出库商品质量无异议。交易所委托指定质量检验机构进行复检，复检结果为解决争议的依据。复检费用由货主先行垫付。</w:t>
      </w:r>
    </w:p>
    <w:p>
      <w:p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对于非免检入库的商品，复检结果与入库质量检验结果相符的，由此产生的相关费用（检验费、差旅费和仓储费等）和损失由货主负担；否则，由仓库负担。</w:t>
      </w:r>
    </w:p>
    <w:p>
      <w:p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对于免检入库的商品，复检结果与产品质量证明书结果相符的，由此产生的相关费用（检验费、差旅费和仓储费等）和损失由货主负担；否则，由生产厂家负担。复检结果与产品质量证明书结果不相符，或虽相符但非免检品牌的，除货主和生产厂家另有约定的以外，生产厂家应当在收到或应当收到复检结果之日起15个自然日内在原交割地点为货主换货，逾期未完成换货的，按照每日10元/吨的标准向货主支付赔偿金，生产厂家在收到或应当收到复检结果之日起60个自然日内未完成换货的，应当向货主赔偿所有损失。</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碳酸锂出库重量验收由仓库和提货人共同实施，具体办法参照入库重量验收规定。</w:t>
      </w:r>
    </w:p>
    <w:p>
      <w:p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碳酸锂出库时数量发生损耗造成短少的，仓库应当及时补足；不能及时补足的，仓库按照《提货通知单》开具日或者提货密码提供日之前（含该日）碳酸锂期货最近已交割月份交割结算价核算短少商品价款，赔偿提货人。</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碳酸锂出库时，出现破包、潮包、结块、严重污染等情况的，仓库应当承担赔偿责任。</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碳酸锂出库完成后，仓库应与货主对相关事宜进行书面确认，并妥善保存相关材料。</w:t>
      </w:r>
    </w:p>
    <w:p>
      <w:pPr>
        <w:spacing w:line="560" w:lineRule="exact"/>
        <w:jc w:val="center"/>
        <w:rPr>
          <w:rFonts w:hint="default" w:ascii="Times New Roman" w:hAnsi="Times New Roman" w:eastAsia="仿宋_GB2312" w:cs="Times New Roman"/>
          <w:b/>
          <w:bCs/>
          <w:sz w:val="32"/>
          <w:szCs w:val="22"/>
        </w:rPr>
      </w:pPr>
      <w:r>
        <w:rPr>
          <w:rFonts w:hint="default" w:ascii="Times New Roman" w:hAnsi="Times New Roman" w:eastAsia="仿宋_GB2312" w:cs="Times New Roman"/>
          <w:b/>
          <w:bCs/>
          <w:sz w:val="32"/>
          <w:szCs w:val="22"/>
        </w:rPr>
        <w:t>第三节 厂库标准仓单交割</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申请注册标准仓单的厂库应当向交易所提供交易所认可的银行履约担保函或者其它担保方式。</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碳酸锂从厂库出库时，货主应当在标准仓单注销日后（不含注销日）的4个自然日内（含当日）到厂库提货。</w:t>
      </w:r>
    </w:p>
    <w:p>
      <w:p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碳酸锂厂库应当在标准仓单注销日后（不含注销日）的4个自然日内（含当日）开始发货。厂库应当按照合约要求的交割质量标准发货，并应当向货主出具符合交易所要求的品质凭证，作为结算质量升贴水的依据。</w:t>
      </w:r>
    </w:p>
    <w:p>
      <w:p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厂库应当在货主的监督下进行抽样、取样及质检，具体操作按照有关标准和相关作业指导文件执行，质检合格后，经双方确认将样品封存，并将样品保留至发货日后的30个自然日。</w:t>
      </w:r>
    </w:p>
    <w:p>
      <w:p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货主对厂库出库商品质量有异议的，首先与厂库协商解决。协商不成的，货主应当在按照规定封存样品后（不含当日）的10个工作日内（含当日）以书面形式向交易所提出复检申请。未在规定时间内以规定方式提出申请的，视为货主对出库商品质量无异议。交易所委托指定质量检验机构对封存的样品进行复检，并以该样品复检结果作为解决争议的依据。复检费用由货主先行垫付。</w:t>
      </w:r>
    </w:p>
    <w:p>
      <w:p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复检结果与厂库认定的检验结果相符的，由此产生的相关费用（检验费、差旅费和仓储费等）和损失由货主负担；否则，由厂库负担。</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厂库以不高于日发货速度向货主发货时，货主因运输能力等原因无法按时提货，货主应当向厂库支付滞纳金。滞纳金按照如下方法确定：</w:t>
      </w:r>
    </w:p>
    <w:p>
      <w:p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（一）从开始提货之日（含当日）起，每日按照截至当日应提而未提的商品数量乘以相应的滞纳金标准计算出当日滞纳金金额；</w:t>
      </w:r>
    </w:p>
    <w:p>
      <w:p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（二）直至完成提货之日（不含当日），在加总每日滞纳金金额的基础上，计算出货主应当向厂库支付的滞纳金总额。</w:t>
      </w:r>
    </w:p>
    <w:p>
      <w:p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滞纳金标准为100元/吨•天。</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在提货期限届满之日后（不含当日）且在标准仓单注销日后（不含注销日）的19个自然日内（含当日）到厂库提货，货主应当向厂库支付滞纳金，厂库仍应按照期货标准承担有关的商品质量、发货时间和发货速度的责任，直至发完全部期货商品。滞纳金按照如下方法确定：</w:t>
      </w:r>
    </w:p>
    <w:p>
      <w:p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（一）从提货期限届满之日（含当日）起，每日按照截至当日应提而未提的商品数量乘以相应的滞纳金标准计算出当日滞纳金金额；</w:t>
      </w:r>
    </w:p>
    <w:p>
      <w:p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（二）直至完成提货之日（不含当日），在加总每日滞纳金金额的基础上，计算出货主应当向厂库支付的滞纳金总额。</w:t>
      </w:r>
    </w:p>
    <w:p>
      <w:p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滞纳金标准为100元/吨•天。</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货主在标准仓单注销日后（不含注销日）的19个自然日后（不含当日）到厂库提货，货主应当以下述公式的计算方法向厂库支付滞纳金，同时厂库将不再按照期货标准承担有关的商品质量、发货时间和发货速度的责任。</w:t>
      </w:r>
    </w:p>
    <w:p>
      <w:p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滞纳金金额=100元/吨•天×全部的商品数量×19天</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厂库未按规定的日发货速度发货，但按时完成了所有商品的发货，厂库应当向货主支付赔偿金。赔偿金标准如下：</w:t>
      </w:r>
    </w:p>
    <w:p>
      <w:p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赔偿金金额=该商品最近已交割月份交割结算价×按日出库速度应发而未发的商品数量×5%</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厂库未按时完成所有商品的发货，在按本细则第七十条规定进行赔偿的基础上，同时还应当向货主支付赔偿金。</w:t>
      </w:r>
    </w:p>
    <w:p>
      <w:p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赔偿金金额=该商品最近已交割月份交割结算价×按商品总量应发而未发的商品数量×5%</w:t>
      </w:r>
    </w:p>
    <w:p>
      <w:p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对于剩余未发商品，交易所按照以下程序进行处理：</w:t>
      </w:r>
    </w:p>
    <w:p>
      <w:p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（一）交易所向货主提供其它厂库或其它地点的相同质量和数量的现货商品，并承担调整交货地点和延期发货产生的全部费用。</w:t>
      </w:r>
    </w:p>
    <w:p>
      <w:p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（二）交易所无法提供上述商品时，向货主返还货款并支付赔偿金。</w:t>
      </w:r>
    </w:p>
    <w:p>
      <w:p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返还货款和赔偿金的金额=该商品最近已交割月份交割结算价×按商品总量应发而未发的商品数量×120%</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当厂库发生本细则第七十条、第七十一条中的违约行为时，首先由厂库向货主支付赔偿金、返还货款和追加赔偿金。厂库未支付的或者支付数额不足的，按照《广州期货交易所风险准备金管理办法》《广州期货交易所标准仓单管理办法》有关规定处理。</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当货主发生本细则第六十七条至第六十九条中的违约行为时，首先由货主向厂库支付滞纳金。货主未支付或支付数额不足的，厂库可通过包括法律手段在内的其他手段向货主追索。</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当发生本细则第六十七条至七十一条所述情况而给厂库或者货主一方造成损失，如双方约定另行协商处理，则按双方协商而定。书面协议报交易所备案。</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因不可抗力导致无法发货或提货时，厂库或货主无需支付滞纳金或赔偿金。</w:t>
      </w:r>
    </w:p>
    <w:p>
      <w:p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本条所称不可抗力包括恶劣天气、洪水、地震或泥石流等自然灾害、法规政策变化等不能预见、不能避免且不能克服的客观情况。</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碳酸锂出库完成后，厂库应与提货人对相关事宜进行书面确认，厂库妥善保存相关材料。</w:t>
      </w:r>
    </w:p>
    <w:p>
      <w:pPr>
        <w:spacing w:line="560" w:lineRule="exact"/>
        <w:jc w:val="center"/>
        <w:rPr>
          <w:rFonts w:hint="default" w:ascii="Times New Roman" w:hAnsi="Times New Roman" w:eastAsia="仿宋_GB2312" w:cs="Times New Roman"/>
          <w:b/>
          <w:bCs/>
          <w:sz w:val="32"/>
          <w:szCs w:val="22"/>
        </w:rPr>
      </w:pPr>
    </w:p>
    <w:p>
      <w:pPr>
        <w:spacing w:line="560" w:lineRule="exact"/>
        <w:jc w:val="center"/>
        <w:rPr>
          <w:rFonts w:hint="default" w:ascii="Times New Roman" w:hAnsi="Times New Roman" w:eastAsia="仿宋_GB2312" w:cs="Times New Roman"/>
          <w:b/>
          <w:bCs/>
          <w:sz w:val="32"/>
          <w:szCs w:val="22"/>
        </w:rPr>
      </w:pPr>
      <w:r>
        <w:rPr>
          <w:rFonts w:hint="default" w:ascii="Times New Roman" w:hAnsi="Times New Roman" w:eastAsia="仿宋_GB2312" w:cs="Times New Roman"/>
          <w:b/>
          <w:bCs/>
          <w:sz w:val="32"/>
          <w:szCs w:val="22"/>
        </w:rPr>
        <w:t>第四章 附则</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违反本细则规定的，交易所按照《广州期货交易所违规违约处理办法》和其他业务规则的有关规定处理。</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本细则解释权属于广州期货交易所。</w:t>
      </w:r>
    </w:p>
    <w:p>
      <w:pPr>
        <w:numPr>
          <w:ilvl w:val="0"/>
          <w:numId w:val="1"/>
        </w:num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本细则自发布之日起实施。</w:t>
      </w:r>
    </w:p>
    <w:p>
      <w:pPr>
        <w:spacing w:line="560" w:lineRule="exact"/>
        <w:rPr>
          <w:rFonts w:ascii="Times New Roman" w:hAnsi="Times New Roman" w:eastAsia="仿宋" w:cs="Times New Roman"/>
          <w:sz w:val="32"/>
          <w:szCs w:val="22"/>
        </w:rPr>
      </w:pPr>
    </w:p>
    <w:p>
      <w:pPr>
        <w:spacing w:line="560" w:lineRule="exact"/>
        <w:ind w:firstLine="640" w:firstLineChars="200"/>
        <w:rPr>
          <w:rFonts w:ascii="Times New Roman" w:hAnsi="Times New Roman" w:eastAsia="仿宋_GB2312" w:cs="Times New Roman"/>
          <w:sz w:val="32"/>
          <w:szCs w:val="32"/>
        </w:rPr>
      </w:pPr>
    </w:p>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pPr>
        <w:pStyle w:val="4"/>
        <w:rPr>
          <w:rFonts w:hint="default" w:ascii="Times New Roman" w:hAnsi="Times New Roman" w:eastAsia="仿宋_GB2312" w:cs="Times New Roman"/>
        </w:rPr>
      </w:pPr>
      <w:r>
        <w:rPr>
          <w:rStyle w:val="7"/>
          <w:rFonts w:hint="default" w:ascii="Times New Roman" w:hAnsi="Times New Roman" w:eastAsia="仿宋_GB2312" w:cs="Times New Roman"/>
        </w:rPr>
        <w:footnoteRef/>
      </w:r>
      <w:r>
        <w:rPr>
          <w:rFonts w:hint="default" w:ascii="Times New Roman" w:hAnsi="Times New Roman" w:eastAsia="仿宋_GB2312" w:cs="Times New Roman"/>
        </w:rPr>
        <w:t xml:space="preserve"> 烧失量检测标准参照T/CSP 4-2018执行。</w:t>
      </w:r>
    </w:p>
  </w:footnote>
  <w:footnote w:id="1">
    <w:p>
      <w:pPr>
        <w:pStyle w:val="4"/>
        <w:rPr>
          <w:rFonts w:hint="default" w:ascii="Times New Roman" w:hAnsi="Times New Roman" w:eastAsia="仿宋_GB2312" w:cs="Times New Roman"/>
        </w:rPr>
      </w:pPr>
      <w:r>
        <w:rPr>
          <w:rStyle w:val="7"/>
          <w:rFonts w:hint="default" w:ascii="Times New Roman" w:hAnsi="Times New Roman" w:eastAsia="仿宋_GB2312" w:cs="Times New Roman"/>
        </w:rPr>
        <w:footnoteRef/>
      </w:r>
      <w:r>
        <w:rPr>
          <w:rFonts w:hint="default" w:ascii="Times New Roman" w:hAnsi="Times New Roman" w:eastAsia="仿宋_GB2312" w:cs="Times New Roman"/>
        </w:rPr>
        <w:t xml:space="preserve"> B检测标准参照GB/T 30902-2014执行。</w:t>
      </w:r>
    </w:p>
  </w:footnote>
  <w:footnote w:id="2">
    <w:p>
      <w:pPr>
        <w:pStyle w:val="4"/>
        <w:rPr>
          <w:rFonts w:hint="default" w:ascii="Times New Roman" w:hAnsi="Times New Roman" w:eastAsia="仿宋_GB2312" w:cs="Times New Roman"/>
        </w:rPr>
      </w:pPr>
      <w:r>
        <w:rPr>
          <w:rStyle w:val="7"/>
          <w:rFonts w:hint="default" w:ascii="Times New Roman" w:hAnsi="Times New Roman" w:eastAsia="仿宋_GB2312" w:cs="Times New Roman"/>
        </w:rPr>
        <w:footnoteRef/>
      </w:r>
      <w:r>
        <w:rPr>
          <w:rFonts w:hint="default" w:ascii="Times New Roman" w:hAnsi="Times New Roman" w:eastAsia="仿宋_GB2312" w:cs="Times New Roman"/>
        </w:rPr>
        <w:t xml:space="preserve"> F检测标准参照GB/T 11064-2013执行。</w:t>
      </w:r>
    </w:p>
  </w:footnote>
  <w:footnote w:id="3">
    <w:p>
      <w:pPr>
        <w:pStyle w:val="4"/>
        <w:rPr>
          <w:rFonts w:hint="default" w:ascii="Times New Roman" w:hAnsi="Times New Roman" w:eastAsia="仿宋_GB2312" w:cs="Times New Roman"/>
        </w:rPr>
      </w:pPr>
      <w:r>
        <w:rPr>
          <w:rStyle w:val="7"/>
          <w:rFonts w:hint="default" w:ascii="Times New Roman" w:hAnsi="Times New Roman" w:eastAsia="仿宋_GB2312" w:cs="Times New Roman"/>
        </w:rPr>
        <w:footnoteRef/>
      </w:r>
      <w:r>
        <w:rPr>
          <w:rFonts w:hint="default" w:ascii="Times New Roman" w:hAnsi="Times New Roman" w:eastAsia="仿宋_GB2312" w:cs="Times New Roman"/>
        </w:rPr>
        <w:t xml:space="preserve"> 盐酸不溶物检测标准参照GB/T 11064-2013执行。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D7480"/>
    <w:multiLevelType w:val="singleLevel"/>
    <w:tmpl w:val="A1DD7480"/>
    <w:lvl w:ilvl="0" w:tentative="0">
      <w:start w:val="1"/>
      <w:numFmt w:val="chineseCounting"/>
      <w:suff w:val="nothing"/>
      <w:lvlText w:val="第%1条 "/>
      <w:lvlJc w:val="left"/>
      <w:pPr>
        <w:ind w:left="0" w:firstLine="40"/>
      </w:pPr>
      <w:rPr>
        <w:rFonts w:hint="eastAsia" w:ascii="仿宋_GB2312" w:hAnsi="仿宋_GB2312" w:eastAsia="仿宋_GB2312" w:cs="仿宋_GB2312"/>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8"/>
    <w:footnote w:id="9"/>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644CB"/>
    <w:rsid w:val="18CC46B5"/>
    <w:rsid w:val="2EF5E9D8"/>
    <w:rsid w:val="35B5AC5D"/>
    <w:rsid w:val="3FE7EDD0"/>
    <w:rsid w:val="477E6DCF"/>
    <w:rsid w:val="4C285F23"/>
    <w:rsid w:val="512E4C18"/>
    <w:rsid w:val="5BB71817"/>
    <w:rsid w:val="B3FFF500"/>
    <w:rsid w:val="D7DF77C7"/>
    <w:rsid w:val="F79F28C9"/>
    <w:rsid w:val="FFF9A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qFormat/>
    <w:uiPriority w:val="0"/>
    <w:pPr>
      <w:widowControl w:val="0"/>
      <w:snapToGrid w:val="0"/>
      <w:jc w:val="left"/>
    </w:pPr>
    <w:rPr>
      <w:rFonts w:asciiTheme="minorHAnsi" w:hAnsiTheme="minorHAnsi" w:eastAsiaTheme="minorEastAsia" w:cstheme="minorBidi"/>
      <w:kern w:val="2"/>
      <w:sz w:val="18"/>
      <w:szCs w:val="24"/>
      <w:lang w:val="en-US" w:eastAsia="zh-CN" w:bidi="ar-SA"/>
    </w:rPr>
  </w:style>
  <w:style w:type="character" w:styleId="7">
    <w:name w:val="footnote reference"/>
    <w:qFormat/>
    <w:uiPriority w:val="0"/>
    <w:rPr>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316</TotalTime>
  <ScaleCrop>false</ScaleCrop>
  <LinksUpToDate>false</LinksUpToDate>
  <CharactersWithSpaces>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2024-11-29T00:52:00Z</dcterms:created>
  <dc:creator>admin</dc:creator>
  <cp:lastModifiedBy>linwy</cp:lastModifiedBy>
  <cp:lastPrinted>2024-12-06T01:53:00Z</cp:lastPrinted>
  <dcterms:modified xsi:type="dcterms:W3CDTF">2024-12-06T11:06:58Z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705B71036FB905CA501A516741B43E72</vt:lpwstr>
  </property>
</Properties>
</file>